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EC" w:rsidRDefault="005D71EC" w:rsidP="005D71EC">
      <w:pPr>
        <w:jc w:val="center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PŘÍPRAVEK NA OCHRANU ROSTLIN</w:t>
      </w:r>
    </w:p>
    <w:p w:rsidR="005D71EC" w:rsidRPr="00BE2958" w:rsidRDefault="005D71EC" w:rsidP="005D71EC">
      <w:pPr>
        <w:jc w:val="center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:rsidR="005D71EC" w:rsidRDefault="005D71EC" w:rsidP="005D71EC">
      <w:pPr>
        <w:jc w:val="center"/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Před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použitím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si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přečtěte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přiložený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návod</w:t>
      </w:r>
      <w:proofErr w:type="spellEnd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k </w:t>
      </w:r>
      <w:proofErr w:type="spellStart"/>
      <w:r w:rsidRPr="00BE2958">
        <w:rPr>
          <w:rFonts w:asciiTheme="minorBidi" w:hAnsiTheme="minorBidi" w:cstheme="minorBidi"/>
          <w:color w:val="000000" w:themeColor="text1"/>
          <w:sz w:val="22"/>
          <w:szCs w:val="22"/>
        </w:rPr>
        <w:t>použití</w:t>
      </w:r>
      <w:proofErr w:type="spellEnd"/>
    </w:p>
    <w:p w:rsidR="00FB5511" w:rsidRPr="00715566" w:rsidRDefault="007A16D4" w:rsidP="005D71EC">
      <w:pPr>
        <w:jc w:val="both"/>
        <w:rPr>
          <w:b/>
          <w:lang w:val="cs-CZ"/>
        </w:rPr>
      </w:pPr>
      <w:r w:rsidRPr="00715566">
        <w:rPr>
          <w:b/>
          <w:sz w:val="32"/>
          <w:lang w:val="cs-CZ"/>
        </w:rPr>
        <w:t xml:space="preserve"> </w:t>
      </w:r>
    </w:p>
    <w:p w:rsidR="00FB5511" w:rsidRPr="005D71EC" w:rsidRDefault="006D59E2" w:rsidP="005D71EC">
      <w:pPr>
        <w:tabs>
          <w:tab w:val="left" w:pos="4320"/>
        </w:tabs>
        <w:jc w:val="center"/>
        <w:rPr>
          <w:rFonts w:asciiTheme="minorBidi" w:hAnsiTheme="minorBidi" w:cstheme="minorBidi"/>
          <w:b/>
          <w:sz w:val="32"/>
          <w:szCs w:val="32"/>
          <w:lang w:val="cs-CZ" w:eastAsia="cs-CZ"/>
        </w:rPr>
      </w:pPr>
      <w:r w:rsidRPr="005D71EC">
        <w:rPr>
          <w:rFonts w:asciiTheme="minorBidi" w:hAnsiTheme="minorBidi" w:cstheme="minorBidi"/>
          <w:b/>
          <w:sz w:val="32"/>
          <w:szCs w:val="32"/>
          <w:lang w:val="cs-CZ" w:eastAsia="cs-CZ"/>
        </w:rPr>
        <w:t>ZYPAR</w:t>
      </w:r>
      <w:r w:rsidR="00624DD7" w:rsidRPr="005D71EC">
        <w:rPr>
          <w:rFonts w:asciiTheme="minorBidi" w:hAnsiTheme="minorBidi" w:cstheme="minorBidi"/>
          <w:b/>
          <w:sz w:val="32"/>
          <w:szCs w:val="32"/>
          <w:lang w:val="cs-CZ" w:eastAsia="cs-CZ"/>
        </w:rPr>
        <w:t xml:space="preserve">  </w:t>
      </w:r>
    </w:p>
    <w:p w:rsidR="00FB5511" w:rsidRPr="00715566" w:rsidRDefault="00FB5511">
      <w:pPr>
        <w:jc w:val="both"/>
        <w:rPr>
          <w:lang w:val="cs-CZ"/>
        </w:rPr>
      </w:pPr>
    </w:p>
    <w:p w:rsidR="0083064C" w:rsidRDefault="00752085" w:rsidP="00775BA7">
      <w:pPr>
        <w:tabs>
          <w:tab w:val="left" w:pos="6390"/>
        </w:tabs>
        <w:jc w:val="both"/>
        <w:rPr>
          <w:rFonts w:asciiTheme="minorBidi" w:hAnsiTheme="minorBidi" w:cstheme="minorBidi"/>
          <w:lang w:val="cs-CZ" w:eastAsia="cs-CZ"/>
        </w:rPr>
      </w:pPr>
      <w:r w:rsidRPr="00F07E6A">
        <w:rPr>
          <w:rFonts w:asciiTheme="minorBidi" w:hAnsiTheme="minorBidi" w:cstheme="minorBidi"/>
          <w:lang w:val="cs-CZ" w:eastAsia="cs-CZ"/>
        </w:rPr>
        <w:t>ZYPAR</w:t>
      </w:r>
      <w:r w:rsidR="005D377B" w:rsidRPr="00F07E6A">
        <w:rPr>
          <w:rFonts w:asciiTheme="minorBidi" w:hAnsiTheme="minorBidi" w:cstheme="minorBidi"/>
          <w:lang w:val="cs-CZ" w:eastAsia="cs-CZ"/>
        </w:rPr>
        <w:t xml:space="preserve"> je selektivní postřikový herbicid</w:t>
      </w:r>
      <w:r w:rsidR="0083064C" w:rsidRPr="00F07E6A">
        <w:rPr>
          <w:rFonts w:asciiTheme="minorBidi" w:hAnsiTheme="minorBidi" w:cstheme="minorBidi"/>
          <w:lang w:val="cs-CZ" w:eastAsia="cs-CZ"/>
        </w:rPr>
        <w:t xml:space="preserve"> </w:t>
      </w:r>
      <w:r w:rsidRPr="00F07E6A">
        <w:rPr>
          <w:rFonts w:asciiTheme="minorBidi" w:hAnsiTheme="minorBidi" w:cstheme="minorBidi"/>
          <w:lang w:val="cs-CZ" w:eastAsia="cs-CZ"/>
        </w:rPr>
        <w:t>ve formě s vodou mísitelné</w:t>
      </w:r>
      <w:r w:rsidR="0083064C" w:rsidRPr="00F07E6A">
        <w:rPr>
          <w:rFonts w:asciiTheme="minorBidi" w:hAnsiTheme="minorBidi" w:cstheme="minorBidi"/>
          <w:lang w:val="cs-CZ" w:eastAsia="cs-CZ"/>
        </w:rPr>
        <w:t xml:space="preserve"> </w:t>
      </w:r>
      <w:r w:rsidRPr="00F07E6A">
        <w:rPr>
          <w:rFonts w:asciiTheme="minorBidi" w:hAnsiTheme="minorBidi" w:cstheme="minorBidi"/>
          <w:lang w:val="cs-CZ" w:eastAsia="cs-CZ"/>
        </w:rPr>
        <w:t>olejové disperze</w:t>
      </w:r>
      <w:r w:rsidR="0083064C" w:rsidRPr="00F07E6A">
        <w:rPr>
          <w:rFonts w:asciiTheme="minorBidi" w:hAnsiTheme="minorBidi" w:cstheme="minorBidi"/>
          <w:lang w:val="cs-CZ" w:eastAsia="cs-CZ"/>
        </w:rPr>
        <w:t xml:space="preserve">, k postemergentnímu hubení dvouděložných plevelů, zejména svízele přítuly, máku vlčího, </w:t>
      </w:r>
      <w:r w:rsidRPr="00F07E6A">
        <w:rPr>
          <w:rFonts w:asciiTheme="minorBidi" w:hAnsiTheme="minorBidi" w:cstheme="minorBidi"/>
          <w:lang w:val="cs-CZ" w:eastAsia="cs-CZ"/>
        </w:rPr>
        <w:t>heřmánkovce přímořského</w:t>
      </w:r>
      <w:r w:rsidR="0083064C" w:rsidRPr="00F07E6A">
        <w:rPr>
          <w:rFonts w:asciiTheme="minorBidi" w:hAnsiTheme="minorBidi" w:cstheme="minorBidi"/>
          <w:lang w:val="cs-CZ" w:eastAsia="cs-CZ"/>
        </w:rPr>
        <w:t xml:space="preserve">, kakostu maličkého, </w:t>
      </w:r>
      <w:r w:rsidRPr="00F07E6A">
        <w:rPr>
          <w:rFonts w:asciiTheme="minorBidi" w:hAnsiTheme="minorBidi" w:cstheme="minorBidi"/>
          <w:lang w:val="cs-CZ" w:eastAsia="cs-CZ"/>
        </w:rPr>
        <w:t>výdrolu řepky ozimé</w:t>
      </w:r>
      <w:r w:rsidR="0083064C" w:rsidRPr="00F07E6A">
        <w:rPr>
          <w:rFonts w:asciiTheme="minorBidi" w:hAnsiTheme="minorBidi" w:cstheme="minorBidi"/>
          <w:lang w:val="cs-CZ" w:eastAsia="cs-CZ"/>
        </w:rPr>
        <w:t>,</w:t>
      </w:r>
      <w:r w:rsidRPr="00F07E6A">
        <w:rPr>
          <w:rFonts w:asciiTheme="minorBidi" w:hAnsiTheme="minorBidi" w:cstheme="minorBidi"/>
          <w:lang w:val="cs-CZ" w:eastAsia="cs-CZ"/>
        </w:rPr>
        <w:t xml:space="preserve"> ptačince prostředního, hluchavky nachové</w:t>
      </w:r>
      <w:r w:rsidR="00DE558A" w:rsidRPr="00F07E6A">
        <w:rPr>
          <w:rFonts w:asciiTheme="minorBidi" w:hAnsiTheme="minorBidi" w:cstheme="minorBidi"/>
          <w:lang w:val="cs-CZ" w:eastAsia="cs-CZ"/>
        </w:rPr>
        <w:t xml:space="preserve">, </w:t>
      </w:r>
      <w:r w:rsidR="00C31FF4" w:rsidRPr="00F07E6A">
        <w:rPr>
          <w:rFonts w:asciiTheme="minorBidi" w:hAnsiTheme="minorBidi" w:cstheme="minorBidi"/>
          <w:lang w:val="cs-CZ" w:eastAsia="cs-CZ"/>
        </w:rPr>
        <w:t>merlíku bílého</w:t>
      </w:r>
      <w:r w:rsidR="00DE558A" w:rsidRPr="00F07E6A">
        <w:rPr>
          <w:rFonts w:asciiTheme="minorBidi" w:hAnsiTheme="minorBidi" w:cstheme="minorBidi"/>
          <w:lang w:val="cs-CZ" w:eastAsia="cs-CZ"/>
        </w:rPr>
        <w:t xml:space="preserve"> </w:t>
      </w:r>
      <w:r w:rsidR="0083064C" w:rsidRPr="00F07E6A">
        <w:rPr>
          <w:rFonts w:asciiTheme="minorBidi" w:hAnsiTheme="minorBidi" w:cstheme="minorBidi"/>
          <w:lang w:val="cs-CZ" w:eastAsia="cs-CZ"/>
        </w:rPr>
        <w:t>a zemědýmu</w:t>
      </w:r>
      <w:r w:rsidRPr="00F07E6A">
        <w:rPr>
          <w:rFonts w:asciiTheme="minorBidi" w:hAnsiTheme="minorBidi" w:cstheme="minorBidi"/>
          <w:lang w:val="cs-CZ" w:eastAsia="cs-CZ"/>
        </w:rPr>
        <w:t xml:space="preserve"> lékařského v </w:t>
      </w:r>
      <w:r w:rsidR="00775BA7">
        <w:rPr>
          <w:rFonts w:asciiTheme="minorBidi" w:hAnsiTheme="minorBidi" w:cstheme="minorBidi"/>
          <w:lang w:val="cs-CZ" w:eastAsia="cs-CZ"/>
        </w:rPr>
        <w:t>p</w:t>
      </w:r>
      <w:r w:rsidR="00775BA7" w:rsidRPr="00775BA7">
        <w:rPr>
          <w:rFonts w:asciiTheme="minorBidi" w:hAnsiTheme="minorBidi" w:cstheme="minorBidi"/>
          <w:lang w:val="cs-CZ" w:eastAsia="cs-CZ"/>
        </w:rPr>
        <w:t>šenic</w:t>
      </w:r>
      <w:r w:rsidR="00775BA7">
        <w:rPr>
          <w:rFonts w:asciiTheme="minorBidi" w:hAnsiTheme="minorBidi" w:cstheme="minorBidi"/>
          <w:lang w:val="cs-CZ" w:eastAsia="cs-CZ"/>
        </w:rPr>
        <w:t>i</w:t>
      </w:r>
      <w:r w:rsidR="00775BA7" w:rsidRPr="00775BA7">
        <w:rPr>
          <w:rFonts w:asciiTheme="minorBidi" w:hAnsiTheme="minorBidi" w:cstheme="minorBidi"/>
          <w:lang w:val="cs-CZ" w:eastAsia="cs-CZ"/>
        </w:rPr>
        <w:t>, ječmen</w:t>
      </w:r>
      <w:r w:rsidR="00775BA7">
        <w:rPr>
          <w:rFonts w:asciiTheme="minorBidi" w:hAnsiTheme="minorBidi" w:cstheme="minorBidi"/>
          <w:lang w:val="cs-CZ" w:eastAsia="cs-CZ"/>
        </w:rPr>
        <w:t>i</w:t>
      </w:r>
      <w:r w:rsidR="00775BA7" w:rsidRPr="00775BA7">
        <w:rPr>
          <w:rFonts w:asciiTheme="minorBidi" w:hAnsiTheme="minorBidi" w:cstheme="minorBidi"/>
          <w:lang w:val="cs-CZ" w:eastAsia="cs-CZ"/>
        </w:rPr>
        <w:t>, žit</w:t>
      </w:r>
      <w:r w:rsidR="00775BA7">
        <w:rPr>
          <w:rFonts w:asciiTheme="minorBidi" w:hAnsiTheme="minorBidi" w:cstheme="minorBidi"/>
          <w:lang w:val="cs-CZ" w:eastAsia="cs-CZ"/>
        </w:rPr>
        <w:t>u</w:t>
      </w:r>
      <w:r w:rsidR="00775BA7" w:rsidRPr="00775BA7">
        <w:rPr>
          <w:rFonts w:asciiTheme="minorBidi" w:hAnsiTheme="minorBidi" w:cstheme="minorBidi"/>
          <w:lang w:val="cs-CZ" w:eastAsia="cs-CZ"/>
        </w:rPr>
        <w:t xml:space="preserve"> </w:t>
      </w:r>
      <w:r w:rsidR="00775BA7">
        <w:rPr>
          <w:rFonts w:asciiTheme="minorBidi" w:hAnsiTheme="minorBidi" w:cstheme="minorBidi"/>
          <w:lang w:val="cs-CZ" w:eastAsia="cs-CZ"/>
        </w:rPr>
        <w:t>a</w:t>
      </w:r>
      <w:r w:rsidR="00775BA7" w:rsidRPr="00775BA7">
        <w:rPr>
          <w:rFonts w:asciiTheme="minorBidi" w:hAnsiTheme="minorBidi" w:cstheme="minorBidi"/>
          <w:lang w:val="cs-CZ" w:eastAsia="cs-CZ"/>
        </w:rPr>
        <w:t xml:space="preserve"> tritikale</w:t>
      </w:r>
      <w:r w:rsidR="0083064C" w:rsidRPr="00F07E6A">
        <w:rPr>
          <w:rFonts w:asciiTheme="minorBidi" w:hAnsiTheme="minorBidi" w:cstheme="minorBidi"/>
          <w:lang w:val="cs-CZ" w:eastAsia="cs-CZ"/>
        </w:rPr>
        <w:t>.</w:t>
      </w:r>
    </w:p>
    <w:p w:rsidR="00F07E6A" w:rsidRPr="00F07E6A" w:rsidRDefault="00F07E6A" w:rsidP="00F07E6A">
      <w:pPr>
        <w:tabs>
          <w:tab w:val="left" w:pos="6390"/>
        </w:tabs>
        <w:jc w:val="both"/>
        <w:rPr>
          <w:rFonts w:asciiTheme="minorBidi" w:hAnsiTheme="minorBidi" w:cstheme="minorBidi"/>
          <w:lang w:val="cs-CZ" w:eastAsia="cs-CZ"/>
        </w:rPr>
      </w:pPr>
    </w:p>
    <w:p w:rsidR="0083064C" w:rsidRDefault="00F07E6A" w:rsidP="00F07E6A">
      <w:pPr>
        <w:rPr>
          <w:rFonts w:asciiTheme="minorBidi" w:hAnsiTheme="minorBidi" w:cstheme="minorBidi"/>
          <w:b/>
          <w:sz w:val="22"/>
          <w:szCs w:val="22"/>
          <w:lang w:val="cs-CZ"/>
        </w:rPr>
      </w:pPr>
      <w:r>
        <w:rPr>
          <w:rFonts w:asciiTheme="minorBidi" w:hAnsiTheme="minorBidi" w:cstheme="minorBidi"/>
          <w:b/>
          <w:sz w:val="22"/>
          <w:szCs w:val="22"/>
          <w:lang w:val="cs-CZ"/>
        </w:rPr>
        <w:t xml:space="preserve">Profesionální </w:t>
      </w:r>
      <w:r w:rsidR="00F15A61" w:rsidRPr="00F07E6A">
        <w:rPr>
          <w:rFonts w:asciiTheme="minorBidi" w:hAnsiTheme="minorBidi" w:cstheme="minorBidi"/>
          <w:b/>
          <w:sz w:val="22"/>
          <w:szCs w:val="22"/>
          <w:lang w:val="cs-CZ"/>
        </w:rPr>
        <w:t>uži</w:t>
      </w:r>
      <w:r>
        <w:rPr>
          <w:rFonts w:asciiTheme="minorBidi" w:hAnsiTheme="minorBidi" w:cstheme="minorBidi"/>
          <w:b/>
          <w:sz w:val="22"/>
          <w:szCs w:val="22"/>
          <w:lang w:val="cs-CZ"/>
        </w:rPr>
        <w:t>vatel</w:t>
      </w:r>
    </w:p>
    <w:p w:rsidR="00F07E6A" w:rsidRPr="00F07E6A" w:rsidRDefault="00F07E6A" w:rsidP="00F07E6A">
      <w:pPr>
        <w:rPr>
          <w:rFonts w:asciiTheme="minorBidi" w:hAnsiTheme="minorBidi" w:cstheme="minorBidi"/>
          <w:b/>
          <w:sz w:val="22"/>
          <w:szCs w:val="22"/>
          <w:lang w:val="cs-CZ"/>
        </w:rPr>
      </w:pPr>
    </w:p>
    <w:p w:rsidR="008A02DE" w:rsidRPr="00F07E6A" w:rsidRDefault="00F07E6A" w:rsidP="0053389C">
      <w:pPr>
        <w:jc w:val="both"/>
        <w:rPr>
          <w:rFonts w:asciiTheme="minorBidi" w:hAnsiTheme="minorBidi" w:cstheme="minorBidi"/>
          <w:bCs/>
          <w:sz w:val="22"/>
          <w:szCs w:val="22"/>
          <w:lang w:val="cs-CZ"/>
        </w:rPr>
      </w:pPr>
      <w:r w:rsidRPr="00F02988">
        <w:rPr>
          <w:rFonts w:asciiTheme="minorBidi" w:hAnsiTheme="minorBidi" w:cstheme="minorBidi"/>
          <w:b/>
          <w:sz w:val="22"/>
          <w:szCs w:val="22"/>
          <w:lang w:val="cs-CZ"/>
        </w:rPr>
        <w:t>Název a množství účinné látky:</w:t>
      </w:r>
      <w:r>
        <w:rPr>
          <w:rFonts w:asciiTheme="minorBidi" w:hAnsiTheme="minorBidi" w:cstheme="minorBidi"/>
          <w:b/>
          <w:sz w:val="22"/>
          <w:szCs w:val="22"/>
          <w:lang w:val="cs-CZ"/>
        </w:rPr>
        <w:tab/>
      </w:r>
      <w:r w:rsidR="00752085" w:rsidRPr="00F07E6A">
        <w:rPr>
          <w:rFonts w:asciiTheme="minorBidi" w:hAnsiTheme="minorBidi" w:cstheme="minorBidi"/>
          <w:bCs/>
          <w:sz w:val="22"/>
          <w:szCs w:val="22"/>
          <w:lang w:val="cs-CZ"/>
        </w:rPr>
        <w:t>florasulam 5 g/l</w:t>
      </w:r>
      <w:r w:rsidR="00624DD7" w:rsidRPr="00F07E6A">
        <w:rPr>
          <w:rFonts w:asciiTheme="minorBidi" w:hAnsiTheme="minorBidi" w:cstheme="minorBidi"/>
          <w:bCs/>
          <w:sz w:val="22"/>
          <w:szCs w:val="22"/>
          <w:lang w:val="cs-CZ"/>
        </w:rPr>
        <w:t xml:space="preserve"> (cca 0,</w:t>
      </w:r>
      <w:r w:rsidR="0053389C" w:rsidRPr="00F07E6A">
        <w:rPr>
          <w:rFonts w:asciiTheme="minorBidi" w:hAnsiTheme="minorBidi" w:cstheme="minorBidi"/>
          <w:bCs/>
          <w:sz w:val="22"/>
          <w:szCs w:val="22"/>
          <w:lang w:val="cs-CZ"/>
        </w:rPr>
        <w:t xml:space="preserve">54 </w:t>
      </w:r>
      <w:r w:rsidR="00624DD7" w:rsidRPr="00F07E6A">
        <w:rPr>
          <w:rFonts w:asciiTheme="minorBidi" w:hAnsiTheme="minorBidi" w:cstheme="minorBidi"/>
          <w:bCs/>
          <w:sz w:val="22"/>
          <w:szCs w:val="22"/>
          <w:lang w:val="cs-CZ"/>
        </w:rPr>
        <w:t>%hm)</w:t>
      </w:r>
    </w:p>
    <w:p w:rsidR="00FB5511" w:rsidRPr="00F07E6A" w:rsidRDefault="00752085" w:rsidP="00F07E6A">
      <w:pPr>
        <w:ind w:left="2880" w:firstLine="720"/>
        <w:jc w:val="both"/>
        <w:rPr>
          <w:rFonts w:asciiTheme="minorBidi" w:hAnsiTheme="minorBidi" w:cstheme="minorBidi"/>
          <w:bCs/>
          <w:sz w:val="22"/>
          <w:szCs w:val="22"/>
          <w:lang w:val="cs-CZ"/>
        </w:rPr>
      </w:pPr>
      <w:r w:rsidRPr="00F07E6A">
        <w:rPr>
          <w:rFonts w:asciiTheme="minorBidi" w:hAnsiTheme="minorBidi" w:cstheme="minorBidi"/>
          <w:bCs/>
          <w:sz w:val="22"/>
          <w:szCs w:val="22"/>
          <w:lang w:val="cs-CZ"/>
        </w:rPr>
        <w:t>halauxifen-methyl 6,25</w:t>
      </w:r>
      <w:r w:rsidR="0059098B" w:rsidRPr="00F07E6A">
        <w:rPr>
          <w:rFonts w:asciiTheme="minorBidi" w:hAnsiTheme="minorBidi" w:cstheme="minorBidi"/>
          <w:bCs/>
          <w:sz w:val="22"/>
          <w:szCs w:val="22"/>
          <w:lang w:val="cs-CZ"/>
        </w:rPr>
        <w:t xml:space="preserve"> </w:t>
      </w:r>
      <w:r w:rsidR="00FF5222" w:rsidRPr="00F07E6A">
        <w:rPr>
          <w:rFonts w:asciiTheme="minorBidi" w:hAnsiTheme="minorBidi" w:cstheme="minorBidi"/>
          <w:bCs/>
          <w:sz w:val="22"/>
          <w:szCs w:val="22"/>
          <w:lang w:val="cs-CZ"/>
        </w:rPr>
        <w:t>g/l</w:t>
      </w:r>
      <w:r w:rsidR="00624DD7" w:rsidRPr="00F07E6A">
        <w:rPr>
          <w:rFonts w:asciiTheme="minorBidi" w:hAnsiTheme="minorBidi" w:cstheme="minorBidi"/>
          <w:bCs/>
          <w:sz w:val="22"/>
          <w:szCs w:val="22"/>
          <w:lang w:val="cs-CZ"/>
        </w:rPr>
        <w:t xml:space="preserve"> (cca 0,</w:t>
      </w:r>
      <w:r w:rsidR="0053389C" w:rsidRPr="00F07E6A">
        <w:rPr>
          <w:rFonts w:asciiTheme="minorBidi" w:hAnsiTheme="minorBidi" w:cstheme="minorBidi"/>
          <w:bCs/>
          <w:sz w:val="22"/>
          <w:szCs w:val="22"/>
          <w:lang w:val="cs-CZ"/>
        </w:rPr>
        <w:t xml:space="preserve">68 </w:t>
      </w:r>
      <w:r w:rsidR="00624DD7" w:rsidRPr="00F07E6A">
        <w:rPr>
          <w:rFonts w:asciiTheme="minorBidi" w:hAnsiTheme="minorBidi" w:cstheme="minorBidi"/>
          <w:bCs/>
          <w:sz w:val="22"/>
          <w:szCs w:val="22"/>
          <w:lang w:val="cs-CZ"/>
        </w:rPr>
        <w:t>% hm)</w:t>
      </w:r>
    </w:p>
    <w:p w:rsidR="008C4DA3" w:rsidRPr="00715566" w:rsidRDefault="008C4DA3">
      <w:pPr>
        <w:jc w:val="both"/>
        <w:rPr>
          <w:lang w:val="cs-CZ"/>
        </w:rPr>
      </w:pPr>
    </w:p>
    <w:p w:rsidR="0083064C" w:rsidRPr="00715566" w:rsidRDefault="00F07E6A" w:rsidP="00F15A61">
      <w:pPr>
        <w:jc w:val="both"/>
        <w:rPr>
          <w:szCs w:val="24"/>
          <w:lang w:val="cs-CZ"/>
        </w:rPr>
      </w:pPr>
      <w:r w:rsidRPr="0066494F">
        <w:rPr>
          <w:rFonts w:asciiTheme="minorBidi" w:hAnsiTheme="minorBidi" w:cstheme="minorBidi"/>
          <w:b/>
          <w:sz w:val="22"/>
          <w:szCs w:val="22"/>
          <w:lang w:val="cs-CZ"/>
        </w:rPr>
        <w:t>Název nebezpečné látky:</w:t>
      </w:r>
      <w:r>
        <w:rPr>
          <w:rFonts w:asciiTheme="minorBidi" w:hAnsiTheme="minorBidi" w:cstheme="minorBidi"/>
          <w:b/>
          <w:sz w:val="22"/>
          <w:szCs w:val="22"/>
          <w:lang w:val="cs-CZ"/>
        </w:rPr>
        <w:tab/>
      </w:r>
      <w:r>
        <w:rPr>
          <w:rFonts w:asciiTheme="minorBidi" w:hAnsiTheme="minorBidi" w:cstheme="minorBidi"/>
          <w:b/>
          <w:sz w:val="22"/>
          <w:szCs w:val="22"/>
          <w:lang w:val="cs-CZ"/>
        </w:rPr>
        <w:tab/>
      </w:r>
      <w:r w:rsidR="0083064C" w:rsidRPr="00F07E6A">
        <w:rPr>
          <w:rFonts w:asciiTheme="minorBidi" w:hAnsiTheme="minorBidi" w:cstheme="minorBidi"/>
          <w:bCs/>
          <w:sz w:val="22"/>
          <w:szCs w:val="22"/>
          <w:lang w:val="cs-CZ"/>
        </w:rPr>
        <w:t>klochintocet-mexyl</w:t>
      </w:r>
    </w:p>
    <w:p w:rsidR="0083064C" w:rsidRPr="00715566" w:rsidRDefault="0083064C">
      <w:pPr>
        <w:jc w:val="both"/>
        <w:rPr>
          <w:highlight w:val="yellow"/>
          <w:lang w:val="cs-CZ"/>
        </w:rPr>
      </w:pPr>
    </w:p>
    <w:p w:rsidR="00A66090" w:rsidRPr="00321A39" w:rsidRDefault="00A66090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sz w:val="22"/>
          <w:szCs w:val="22"/>
          <w:lang w:val="cs-CZ" w:eastAsia="cs-CZ"/>
        </w:rPr>
        <w:t>Arylex</w:t>
      </w:r>
      <w:r w:rsidRPr="00321A39">
        <w:rPr>
          <w:rFonts w:asciiTheme="minorBidi" w:hAnsiTheme="minorBidi" w:cstheme="minorBidi"/>
          <w:sz w:val="22"/>
          <w:szCs w:val="22"/>
          <w:vertAlign w:val="superscript"/>
          <w:lang w:val="cs-CZ" w:eastAsia="cs-CZ"/>
        </w:rPr>
        <w:t xml:space="preserve">TM </w:t>
      </w:r>
      <w:r w:rsidRPr="00321A39">
        <w:rPr>
          <w:rFonts w:asciiTheme="minorBidi" w:hAnsiTheme="minorBidi" w:cstheme="minorBidi"/>
          <w:sz w:val="22"/>
          <w:szCs w:val="22"/>
          <w:lang w:val="cs-CZ" w:eastAsia="cs-CZ"/>
        </w:rPr>
        <w:t>je běžně používaný název účinné látky halauxifen-methyl</w:t>
      </w:r>
    </w:p>
    <w:p w:rsidR="00A66090" w:rsidRDefault="00A66090">
      <w:pPr>
        <w:jc w:val="both"/>
        <w:rPr>
          <w:highlight w:val="yellow"/>
          <w:lang w:val="cs-CZ"/>
        </w:rPr>
      </w:pPr>
    </w:p>
    <w:p w:rsidR="004918BE" w:rsidRPr="0066494F" w:rsidRDefault="004918BE" w:rsidP="004918BE">
      <w:pPr>
        <w:rPr>
          <w:rFonts w:asciiTheme="minorBidi" w:hAnsiTheme="minorBidi" w:cstheme="minorBidi"/>
          <w:b/>
          <w:sz w:val="22"/>
          <w:szCs w:val="22"/>
          <w:lang w:val="cs-CZ"/>
        </w:rPr>
      </w:pPr>
      <w:r w:rsidRPr="0066494F">
        <w:rPr>
          <w:rFonts w:asciiTheme="minorBidi" w:hAnsiTheme="minorBidi" w:cstheme="minorBidi"/>
          <w:b/>
          <w:sz w:val="22"/>
          <w:szCs w:val="22"/>
          <w:lang w:val="cs-CZ"/>
        </w:rPr>
        <w:t xml:space="preserve">Označení přípravku: </w:t>
      </w:r>
    </w:p>
    <w:p w:rsidR="004918BE" w:rsidRPr="00715566" w:rsidRDefault="004918BE">
      <w:pPr>
        <w:jc w:val="both"/>
        <w:rPr>
          <w:highlight w:val="yellow"/>
          <w:lang w:val="cs-CZ"/>
        </w:rPr>
      </w:pPr>
    </w:p>
    <w:tbl>
      <w:tblPr>
        <w:tblW w:w="4470" w:type="dxa"/>
        <w:tblLayout w:type="fixed"/>
        <w:tblLook w:val="0000" w:firstRow="0" w:lastRow="0" w:firstColumn="0" w:lastColumn="0" w:noHBand="0" w:noVBand="0"/>
      </w:tblPr>
      <w:tblGrid>
        <w:gridCol w:w="2235"/>
        <w:gridCol w:w="2235"/>
      </w:tblGrid>
      <w:tr w:rsidR="00FB5511" w:rsidRPr="00321A39" w:rsidTr="007742E1">
        <w:tc>
          <w:tcPr>
            <w:tcW w:w="2235" w:type="dxa"/>
          </w:tcPr>
          <w:p w:rsidR="00FB5511" w:rsidRPr="00321A39" w:rsidRDefault="00FB5511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noProof/>
                <w:sz w:val="22"/>
                <w:szCs w:val="22"/>
                <w:lang w:val="cs-CZ" w:eastAsia="zh-CN"/>
              </w:rPr>
              <w:drawing>
                <wp:inline distT="0" distB="0" distL="0" distR="0" wp14:anchorId="42244670" wp14:editId="04AF2057">
                  <wp:extent cx="655320" cy="655320"/>
                  <wp:effectExtent l="0" t="0" r="0" b="0"/>
                  <wp:docPr id="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39">
              <w:rPr>
                <w:rFonts w:asciiTheme="minorBidi" w:hAnsiTheme="minorBidi" w:cstheme="minorBidi"/>
                <w:sz w:val="22"/>
                <w:szCs w:val="22"/>
                <w:lang w:val="cs-CZ" w:eastAsia="cs-CZ"/>
              </w:rPr>
              <w:br/>
              <w:t>GHS07</w:t>
            </w:r>
          </w:p>
        </w:tc>
        <w:tc>
          <w:tcPr>
            <w:tcW w:w="2235" w:type="dxa"/>
          </w:tcPr>
          <w:p w:rsidR="00FB5511" w:rsidRPr="00321A39" w:rsidRDefault="00FB5511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noProof/>
                <w:sz w:val="22"/>
                <w:szCs w:val="22"/>
                <w:lang w:val="cs-CZ" w:eastAsia="zh-CN"/>
              </w:rPr>
              <w:drawing>
                <wp:inline distT="0" distB="0" distL="0" distR="0" wp14:anchorId="4D78616D" wp14:editId="1E3E78CD">
                  <wp:extent cx="655320" cy="655320"/>
                  <wp:effectExtent l="0" t="0" r="0" b="0"/>
                  <wp:docPr id="2" name="Picture 32" descr="pol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l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A39">
              <w:rPr>
                <w:rFonts w:asciiTheme="minorBidi" w:hAnsiTheme="minorBidi" w:cstheme="minorBidi"/>
                <w:sz w:val="22"/>
                <w:szCs w:val="22"/>
                <w:lang w:val="cs-CZ" w:eastAsia="cs-CZ"/>
              </w:rPr>
              <w:br/>
              <w:t>GHS09</w:t>
            </w:r>
          </w:p>
        </w:tc>
      </w:tr>
    </w:tbl>
    <w:p w:rsidR="00FB5511" w:rsidRPr="00715566" w:rsidRDefault="00FB5511" w:rsidP="00726639">
      <w:pPr>
        <w:tabs>
          <w:tab w:val="left" w:pos="1702"/>
          <w:tab w:val="left" w:pos="6390"/>
        </w:tabs>
        <w:jc w:val="both"/>
        <w:rPr>
          <w:b/>
          <w:lang w:val="cs-CZ"/>
        </w:rPr>
      </w:pPr>
    </w:p>
    <w:p w:rsidR="00F15A61" w:rsidRPr="00F15A61" w:rsidRDefault="00F15A61" w:rsidP="00F15A61">
      <w:pPr>
        <w:autoSpaceDE w:val="0"/>
        <w:autoSpaceDN w:val="0"/>
        <w:adjustRightInd w:val="0"/>
        <w:rPr>
          <w:color w:val="000000"/>
          <w:szCs w:val="24"/>
          <w:lang w:val="cs-CZ" w:eastAsia="en-GB"/>
        </w:rPr>
      </w:pPr>
    </w:p>
    <w:p w:rsidR="00321A39" w:rsidRPr="00321A39" w:rsidRDefault="00F15A61" w:rsidP="00DB77D2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sz w:val="22"/>
          <w:szCs w:val="22"/>
          <w:lang w:val="cs-CZ" w:eastAsia="cs-CZ"/>
        </w:rPr>
        <w:t xml:space="preserve">Varování </w:t>
      </w:r>
    </w:p>
    <w:p w:rsidR="007D2947" w:rsidRPr="00321A39" w:rsidRDefault="0058167D" w:rsidP="00DB77D2">
      <w:pPr>
        <w:jc w:val="both"/>
        <w:rPr>
          <w:rFonts w:asciiTheme="minorBidi" w:hAnsiTheme="minorBidi" w:cstheme="minorBidi"/>
          <w:sz w:val="22"/>
          <w:szCs w:val="22"/>
          <w:lang w:val="cs-CZ"/>
        </w:rPr>
      </w:pPr>
      <w:r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H315</w:t>
      </w:r>
      <w:r w:rsidRPr="00321A39">
        <w:rPr>
          <w:rFonts w:asciiTheme="minorBidi" w:hAnsiTheme="minorBidi" w:cstheme="minorBidi"/>
          <w:sz w:val="22"/>
          <w:szCs w:val="22"/>
          <w:lang w:val="cs-CZ"/>
        </w:rPr>
        <w:t xml:space="preserve"> Dráždí kůži. </w:t>
      </w:r>
      <w:r w:rsidR="00FB5511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H317</w:t>
      </w:r>
      <w:r w:rsidR="00912BF0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FB5511" w:rsidRPr="00321A39">
        <w:rPr>
          <w:rFonts w:asciiTheme="minorBidi" w:hAnsiTheme="minorBidi" w:cstheme="minorBidi"/>
          <w:sz w:val="22"/>
          <w:szCs w:val="22"/>
          <w:lang w:val="cs-CZ"/>
        </w:rPr>
        <w:t>Může vyvolat alergickou kožní reakci.</w:t>
      </w:r>
      <w:r w:rsidR="00912BF0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912BF0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H319</w:t>
      </w:r>
      <w:r w:rsidR="00912BF0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59098B" w:rsidRPr="00321A39">
        <w:rPr>
          <w:rFonts w:asciiTheme="minorBidi" w:hAnsiTheme="minorBidi" w:cstheme="minorBidi"/>
          <w:sz w:val="22"/>
          <w:szCs w:val="22"/>
          <w:lang w:val="cs-CZ"/>
        </w:rPr>
        <w:t>Způsobuje vážné podráždění očí.</w:t>
      </w:r>
      <w:r w:rsidR="00912BF0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FB5511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H41</w:t>
      </w:r>
      <w:r w:rsidR="0022442A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0</w:t>
      </w:r>
      <w:r w:rsidR="00912BF0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22442A" w:rsidRPr="00321A39">
        <w:rPr>
          <w:rFonts w:asciiTheme="minorBidi" w:hAnsiTheme="minorBidi" w:cstheme="minorBidi"/>
          <w:sz w:val="22"/>
          <w:szCs w:val="22"/>
          <w:lang w:val="cs-CZ"/>
        </w:rPr>
        <w:t>Vysoce to</w:t>
      </w:r>
      <w:r w:rsidR="00FB5511" w:rsidRPr="00321A39">
        <w:rPr>
          <w:rFonts w:asciiTheme="minorBidi" w:hAnsiTheme="minorBidi" w:cstheme="minorBidi"/>
          <w:sz w:val="22"/>
          <w:szCs w:val="22"/>
          <w:lang w:val="cs-CZ"/>
        </w:rPr>
        <w:t xml:space="preserve">xický pro vodní organismy, s </w:t>
      </w:r>
      <w:r w:rsidR="00FF5222" w:rsidRPr="00321A39">
        <w:rPr>
          <w:rFonts w:asciiTheme="minorBidi" w:hAnsiTheme="minorBidi" w:cstheme="minorBidi"/>
          <w:sz w:val="22"/>
          <w:szCs w:val="22"/>
          <w:lang w:val="cs-CZ"/>
        </w:rPr>
        <w:t>d</w:t>
      </w:r>
      <w:r w:rsidR="00FB5511" w:rsidRPr="00321A39">
        <w:rPr>
          <w:rFonts w:asciiTheme="minorBidi" w:hAnsiTheme="minorBidi" w:cstheme="minorBidi"/>
          <w:sz w:val="22"/>
          <w:szCs w:val="22"/>
          <w:lang w:val="cs-CZ"/>
        </w:rPr>
        <w:t>louhodobými účinky.</w:t>
      </w:r>
      <w:r w:rsidR="00912BF0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A40B87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P280</w:t>
      </w:r>
      <w:r w:rsidR="00321A39">
        <w:rPr>
          <w:rFonts w:asciiTheme="minorBidi" w:hAnsiTheme="minorBidi" w:cstheme="minorBidi"/>
          <w:sz w:val="22"/>
          <w:szCs w:val="22"/>
          <w:lang w:val="cs-CZ"/>
        </w:rPr>
        <w:tab/>
        <w:t xml:space="preserve">Používejte </w:t>
      </w:r>
      <w:r w:rsidR="00A40B87" w:rsidRPr="00321A39">
        <w:rPr>
          <w:rFonts w:asciiTheme="minorBidi" w:hAnsiTheme="minorBidi" w:cstheme="minorBidi"/>
          <w:sz w:val="22"/>
          <w:szCs w:val="22"/>
          <w:lang w:val="cs-CZ"/>
        </w:rPr>
        <w:t xml:space="preserve">ochranné rukavice/ ochranný oděv/ ochranné brýle/ obličejový štít. </w:t>
      </w:r>
      <w:r w:rsidR="00A40B87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P302 + P352</w:t>
      </w:r>
      <w:r w:rsidR="00FF5222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A40B87" w:rsidRPr="00321A39">
        <w:rPr>
          <w:rFonts w:asciiTheme="minorBidi" w:hAnsiTheme="minorBidi" w:cstheme="minorBidi"/>
          <w:sz w:val="22"/>
          <w:szCs w:val="22"/>
          <w:lang w:val="cs-CZ"/>
        </w:rPr>
        <w:t xml:space="preserve">PŘI STYKU S KŮŽÍ: Omyjte velkým množstvím vody. </w:t>
      </w:r>
      <w:r w:rsidR="00A40B87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P305 + P351 + P338</w:t>
      </w:r>
      <w:r w:rsidR="00FF5222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A40B87" w:rsidRPr="00321A39">
        <w:rPr>
          <w:rFonts w:asciiTheme="minorBidi" w:hAnsiTheme="minorBidi" w:cstheme="minorBidi"/>
          <w:sz w:val="22"/>
          <w:szCs w:val="22"/>
          <w:lang w:val="cs-CZ"/>
        </w:rPr>
        <w:t xml:space="preserve">PŘI ZASAŽENÍ OČÍ: Několik minut opatrně vyplachujte vodou. Vyjměte kontaktní čočky, jsou-li nasazeny a pokud je lze vyjmout snadno. Pokračujte ve vyplachování. </w:t>
      </w:r>
      <w:r w:rsidR="00A40B87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P501</w:t>
      </w:r>
      <w:r w:rsidR="00FF5222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DB77D2" w:rsidRPr="00321A39">
        <w:rPr>
          <w:rFonts w:asciiTheme="minorBidi" w:hAnsiTheme="minorBidi" w:cstheme="minorBidi"/>
          <w:sz w:val="22"/>
          <w:szCs w:val="22"/>
          <w:lang w:val="cs-CZ"/>
        </w:rPr>
        <w:t>Odstraňte obal/obsah předáním oprávněné osobě</w:t>
      </w:r>
      <w:r w:rsidR="00A40B87" w:rsidRPr="00321A39">
        <w:rPr>
          <w:rFonts w:asciiTheme="minorBidi" w:hAnsiTheme="minorBidi" w:cstheme="minorBidi"/>
          <w:sz w:val="22"/>
          <w:szCs w:val="22"/>
          <w:lang w:val="cs-CZ"/>
        </w:rPr>
        <w:t xml:space="preserve">. </w:t>
      </w:r>
      <w:r w:rsidR="00A40B87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EUH401</w:t>
      </w:r>
      <w:r w:rsidR="00A40B87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Dodržujte pokyny pro používání, abyste se vyvarovali rizik pro lidské zdraví a životní prostředí</w:t>
      </w:r>
      <w:r w:rsidR="000A56BB" w:rsidRPr="00321A39">
        <w:rPr>
          <w:rFonts w:asciiTheme="minorBidi" w:hAnsiTheme="minorBidi" w:cstheme="minorBidi"/>
          <w:sz w:val="22"/>
          <w:szCs w:val="22"/>
          <w:lang w:val="cs-CZ"/>
        </w:rPr>
        <w:t>.</w:t>
      </w:r>
      <w:r w:rsidR="007A16D4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FB5511" w:rsidRPr="00321A39">
        <w:rPr>
          <w:rFonts w:asciiTheme="minorBidi" w:hAnsiTheme="minorBidi" w:cstheme="minorBidi"/>
          <w:b/>
          <w:bCs/>
          <w:sz w:val="22"/>
          <w:szCs w:val="22"/>
          <w:lang w:val="cs-CZ"/>
        </w:rPr>
        <w:t>SP1</w:t>
      </w:r>
      <w:r w:rsidR="00FB5511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Neznečišťujte vody přípravkem nebo jeho obalem. (Nečistěte aplikační zařízení v blízkosti povrchových vod. Zabraňte kontaminaci vod splachem z farem a z cest).</w:t>
      </w:r>
      <w:r w:rsidR="00912BF0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</w:p>
    <w:p w:rsidR="00FB5511" w:rsidRDefault="00FB5511">
      <w:pPr>
        <w:tabs>
          <w:tab w:val="left" w:pos="1702"/>
          <w:tab w:val="left" w:pos="6390"/>
        </w:tabs>
        <w:ind w:left="450" w:hanging="450"/>
        <w:jc w:val="both"/>
        <w:rPr>
          <w:b/>
          <w:szCs w:val="24"/>
          <w:lang w:val="cs-CZ"/>
        </w:rPr>
      </w:pPr>
    </w:p>
    <w:p w:rsidR="00321A39" w:rsidRPr="00BE2958" w:rsidRDefault="00321A39" w:rsidP="00321A39">
      <w:pPr>
        <w:jc w:val="both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Držitel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povolení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>:</w:t>
      </w:r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BE2958">
        <w:rPr>
          <w:rFonts w:asciiTheme="minorBidi" w:hAnsiTheme="minorBidi" w:cstheme="minorBidi"/>
          <w:sz w:val="22"/>
          <w:szCs w:val="22"/>
        </w:rPr>
        <w:t xml:space="preserve">Dow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AgroSciences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s.r.o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, Na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okraji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14, 162 00 Praha 6,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tel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>: +420 220 610 384</w:t>
      </w:r>
    </w:p>
    <w:p w:rsidR="00321A39" w:rsidRDefault="00321A39" w:rsidP="00321A39">
      <w:pPr>
        <w:tabs>
          <w:tab w:val="left" w:pos="0"/>
        </w:tabs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Osoba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odpovědná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za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konečné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balení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a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označení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proofErr w:type="gramStart"/>
      <w:r w:rsidRPr="00BE2958">
        <w:rPr>
          <w:rFonts w:asciiTheme="minorBidi" w:hAnsiTheme="minorBidi" w:cstheme="minorBidi"/>
          <w:b/>
          <w:sz w:val="22"/>
          <w:szCs w:val="22"/>
        </w:rPr>
        <w:t>na</w:t>
      </w:r>
      <w:proofErr w:type="spellEnd"/>
      <w:proofErr w:type="gram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trhu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BE2958">
        <w:rPr>
          <w:rFonts w:asciiTheme="minorBidi" w:hAnsiTheme="minorBidi" w:cstheme="minorBidi"/>
          <w:sz w:val="22"/>
          <w:szCs w:val="22"/>
        </w:rPr>
        <w:t xml:space="preserve">Dow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AgroSciences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s.r.o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, Na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okraji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14, 162 00 Praha 6,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tel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>: +420 220 610</w:t>
      </w:r>
      <w:r>
        <w:rPr>
          <w:rFonts w:asciiTheme="minorBidi" w:hAnsiTheme="minorBidi" w:cstheme="minorBidi"/>
          <w:sz w:val="22"/>
          <w:szCs w:val="22"/>
        </w:rPr>
        <w:t> </w:t>
      </w:r>
      <w:r w:rsidRPr="00BE2958">
        <w:rPr>
          <w:rFonts w:asciiTheme="minorBidi" w:hAnsiTheme="minorBidi" w:cstheme="minorBidi"/>
          <w:sz w:val="22"/>
          <w:szCs w:val="22"/>
        </w:rPr>
        <w:t>384</w:t>
      </w:r>
    </w:p>
    <w:p w:rsidR="00321A39" w:rsidRDefault="00321A39" w:rsidP="00321A39">
      <w:pPr>
        <w:jc w:val="both"/>
        <w:rPr>
          <w:rFonts w:asciiTheme="minorBidi" w:hAnsiTheme="minorBidi" w:cstheme="minorBidi"/>
          <w:sz w:val="22"/>
          <w:szCs w:val="22"/>
        </w:rPr>
      </w:pPr>
    </w:p>
    <w:p w:rsidR="00321A39" w:rsidRPr="00BE2958" w:rsidRDefault="00321A39" w:rsidP="004918BE">
      <w:pPr>
        <w:jc w:val="both"/>
        <w:rPr>
          <w:rFonts w:asciiTheme="minorBidi" w:hAnsiTheme="minorBidi" w:cstheme="minorBidi"/>
          <w:iCs/>
          <w:snapToGrid w:val="0"/>
          <w:szCs w:val="24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Evidenční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číslo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přípravku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BE2958">
        <w:rPr>
          <w:rFonts w:asciiTheme="minorBidi" w:hAnsiTheme="minorBidi" w:cstheme="minorBidi"/>
          <w:iCs/>
          <w:snapToGrid w:val="0"/>
          <w:szCs w:val="24"/>
        </w:rPr>
        <w:t>55</w:t>
      </w:r>
      <w:r w:rsidR="004918BE">
        <w:rPr>
          <w:rFonts w:asciiTheme="minorBidi" w:hAnsiTheme="minorBidi" w:cstheme="minorBidi"/>
          <w:iCs/>
          <w:snapToGrid w:val="0"/>
          <w:szCs w:val="24"/>
        </w:rPr>
        <w:t>7</w:t>
      </w:r>
      <w:r w:rsidRPr="00BE2958">
        <w:rPr>
          <w:rFonts w:asciiTheme="minorBidi" w:hAnsiTheme="minorBidi" w:cstheme="minorBidi"/>
          <w:iCs/>
          <w:snapToGrid w:val="0"/>
          <w:szCs w:val="24"/>
        </w:rPr>
        <w:t>5-0</w:t>
      </w:r>
    </w:p>
    <w:p w:rsidR="00321A39" w:rsidRPr="00BE2958" w:rsidRDefault="00321A39" w:rsidP="00321A39">
      <w:p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Číslo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šarže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uvedeno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proofErr w:type="gramStart"/>
      <w:r w:rsidRPr="00BE2958">
        <w:rPr>
          <w:rFonts w:asciiTheme="minorBidi" w:hAnsiTheme="minorBidi" w:cstheme="minorBidi"/>
          <w:sz w:val="22"/>
          <w:szCs w:val="22"/>
        </w:rPr>
        <w:t>na</w:t>
      </w:r>
      <w:proofErr w:type="spellEnd"/>
      <w:proofErr w:type="gram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obalu</w:t>
      </w:r>
      <w:proofErr w:type="spellEnd"/>
    </w:p>
    <w:p w:rsidR="00321A39" w:rsidRPr="00BE2958" w:rsidRDefault="00321A39" w:rsidP="00321A39">
      <w:pPr>
        <w:jc w:val="both"/>
        <w:rPr>
          <w:rFonts w:asciiTheme="minorBidi" w:hAnsiTheme="minorBidi" w:cstheme="minorBidi"/>
          <w:i/>
          <w:sz w:val="22"/>
          <w:szCs w:val="22"/>
        </w:rPr>
      </w:pPr>
      <w:r w:rsidRPr="00BE2958">
        <w:rPr>
          <w:rFonts w:asciiTheme="minorBidi" w:hAnsiTheme="minorBidi" w:cstheme="minorBidi"/>
          <w:b/>
          <w:sz w:val="22"/>
          <w:szCs w:val="22"/>
        </w:rPr>
        <w:t xml:space="preserve">Datum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výroby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formulace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proofErr w:type="spellStart"/>
      <w:r w:rsidRPr="00BE2958">
        <w:rPr>
          <w:rFonts w:asciiTheme="minorBidi" w:hAnsiTheme="minorBidi" w:cstheme="minorBidi"/>
          <w:bCs/>
          <w:sz w:val="22"/>
          <w:szCs w:val="22"/>
        </w:rPr>
        <w:t>uvedeno</w:t>
      </w:r>
      <w:proofErr w:type="spellEnd"/>
      <w:r w:rsidRPr="00BE2958">
        <w:rPr>
          <w:rFonts w:asciiTheme="minorBidi" w:hAnsiTheme="minorBidi" w:cstheme="minorBidi"/>
          <w:bCs/>
          <w:sz w:val="22"/>
          <w:szCs w:val="22"/>
        </w:rPr>
        <w:t xml:space="preserve"> </w:t>
      </w:r>
      <w:proofErr w:type="spellStart"/>
      <w:proofErr w:type="gramStart"/>
      <w:r w:rsidRPr="00BE2958">
        <w:rPr>
          <w:rFonts w:asciiTheme="minorBidi" w:hAnsiTheme="minorBidi" w:cstheme="minorBidi"/>
          <w:bCs/>
          <w:sz w:val="22"/>
          <w:szCs w:val="22"/>
        </w:rPr>
        <w:t>na</w:t>
      </w:r>
      <w:proofErr w:type="spellEnd"/>
      <w:proofErr w:type="gramEnd"/>
      <w:r w:rsidRPr="00BE2958">
        <w:rPr>
          <w:rFonts w:asciiTheme="minorBidi" w:hAnsiTheme="minorBidi" w:cstheme="minorBidi"/>
          <w:bCs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Cs/>
          <w:sz w:val="22"/>
          <w:szCs w:val="22"/>
        </w:rPr>
        <w:t>obalu</w:t>
      </w:r>
      <w:proofErr w:type="spellEnd"/>
    </w:p>
    <w:p w:rsidR="00321A39" w:rsidRPr="00BE2958" w:rsidRDefault="00321A39" w:rsidP="00321A39">
      <w:p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Doba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použitelnosti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r>
        <w:rPr>
          <w:rFonts w:asciiTheme="minorBidi" w:hAnsiTheme="minorBidi" w:cstheme="minorBidi"/>
          <w:b/>
          <w:sz w:val="22"/>
          <w:szCs w:val="22"/>
        </w:rPr>
        <w:t xml:space="preserve">2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roky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b/>
          <w:sz w:val="22"/>
          <w:szCs w:val="22"/>
        </w:rPr>
        <w:t>od</w:t>
      </w:r>
      <w:proofErr w:type="gramEnd"/>
      <w:r>
        <w:rPr>
          <w:rFonts w:asciiTheme="minorBidi" w:hAnsiTheme="minorBidi" w:cstheme="minorBidi"/>
          <w:b/>
          <w:sz w:val="22"/>
          <w:szCs w:val="22"/>
        </w:rPr>
        <w:t xml:space="preserve"> data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výroby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p</w:t>
      </w:r>
      <w:r w:rsidRPr="00BE2958">
        <w:rPr>
          <w:rFonts w:asciiTheme="minorBidi" w:hAnsiTheme="minorBidi" w:cstheme="minorBidi"/>
          <w:sz w:val="22"/>
          <w:szCs w:val="22"/>
        </w:rPr>
        <w:t>ři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skladování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v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původních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neotevřených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a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neporušených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obalech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;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teplota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skladování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+5 </w:t>
      </w:r>
      <w:proofErr w:type="spellStart"/>
      <w:r w:rsidRPr="00BE2958">
        <w:rPr>
          <w:rFonts w:asciiTheme="minorBidi" w:hAnsiTheme="minorBidi" w:cstheme="minorBidi"/>
          <w:sz w:val="22"/>
          <w:szCs w:val="22"/>
        </w:rPr>
        <w:t>až</w:t>
      </w:r>
      <w:proofErr w:type="spellEnd"/>
      <w:r w:rsidRPr="00BE2958">
        <w:rPr>
          <w:rFonts w:asciiTheme="minorBidi" w:hAnsiTheme="minorBidi" w:cstheme="minorBidi"/>
          <w:sz w:val="22"/>
          <w:szCs w:val="22"/>
        </w:rPr>
        <w:t xml:space="preserve"> +30 °C.</w:t>
      </w:r>
    </w:p>
    <w:p w:rsidR="00321A39" w:rsidRPr="00BE2958" w:rsidRDefault="00321A39" w:rsidP="00321A39">
      <w:pPr>
        <w:jc w:val="both"/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Množství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přípravku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v 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obalu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: </w:t>
      </w:r>
      <w:r>
        <w:rPr>
          <w:rFonts w:asciiTheme="minorBidi" w:hAnsiTheme="minorBidi" w:cstheme="minorBidi"/>
          <w:sz w:val="22"/>
          <w:szCs w:val="22"/>
        </w:rPr>
        <w:t>5</w:t>
      </w:r>
      <w:r w:rsidRPr="00BE2958">
        <w:rPr>
          <w:rFonts w:asciiTheme="minorBidi" w:hAnsiTheme="minorBidi" w:cstheme="minorBidi"/>
          <w:sz w:val="22"/>
          <w:szCs w:val="22"/>
        </w:rPr>
        <w:t xml:space="preserve"> l</w:t>
      </w:r>
      <w:r>
        <w:rPr>
          <w:rFonts w:asciiTheme="minorBidi" w:hAnsiTheme="minorBidi" w:cstheme="minorBidi"/>
          <w:sz w:val="22"/>
          <w:szCs w:val="22"/>
        </w:rPr>
        <w:t xml:space="preserve"> PET </w:t>
      </w:r>
      <w:proofErr w:type="spellStart"/>
      <w:r>
        <w:rPr>
          <w:rFonts w:asciiTheme="minorBidi" w:hAnsiTheme="minorBidi" w:cstheme="minorBidi"/>
          <w:sz w:val="22"/>
          <w:szCs w:val="22"/>
        </w:rPr>
        <w:t>l</w:t>
      </w:r>
      <w:r w:rsidRPr="00321A39">
        <w:rPr>
          <w:rFonts w:asciiTheme="minorBidi" w:hAnsiTheme="minorBidi" w:cstheme="minorBidi"/>
          <w:sz w:val="22"/>
          <w:szCs w:val="22"/>
        </w:rPr>
        <w:t>á</w:t>
      </w:r>
      <w:r>
        <w:rPr>
          <w:rFonts w:asciiTheme="minorBidi" w:hAnsiTheme="minorBidi" w:cstheme="minorBidi"/>
          <w:sz w:val="22"/>
          <w:szCs w:val="22"/>
        </w:rPr>
        <w:t>hev</w:t>
      </w:r>
      <w:proofErr w:type="spellEnd"/>
    </w:p>
    <w:p w:rsidR="00321A39" w:rsidRPr="00B45DEC" w:rsidRDefault="00321A39" w:rsidP="00321A39">
      <w:pPr>
        <w:tabs>
          <w:tab w:val="left" w:pos="1702"/>
          <w:tab w:val="left" w:pos="2127"/>
          <w:tab w:val="left" w:pos="2977"/>
          <w:tab w:val="left" w:pos="4253"/>
          <w:tab w:val="left" w:pos="6390"/>
        </w:tabs>
        <w:rPr>
          <w:rFonts w:asciiTheme="minorBidi" w:hAnsiTheme="minorBidi" w:cstheme="minorBidi"/>
          <w:sz w:val="22"/>
          <w:szCs w:val="22"/>
        </w:rPr>
      </w:pPr>
    </w:p>
    <w:p w:rsidR="00321A39" w:rsidRPr="00B45DEC" w:rsidRDefault="00321A39" w:rsidP="00321A39">
      <w:pPr>
        <w:ind w:right="28"/>
        <w:rPr>
          <w:rFonts w:asciiTheme="minorBidi" w:hAnsiTheme="minorBidi" w:cstheme="minorBidi"/>
          <w:b/>
          <w:bCs/>
          <w:sz w:val="22"/>
          <w:szCs w:val="22"/>
        </w:rPr>
      </w:pPr>
      <w:r w:rsidRPr="00B45DEC">
        <w:rPr>
          <w:rFonts w:asciiTheme="minorBidi" w:hAnsiTheme="minorBidi" w:cstheme="minorBidi"/>
          <w:sz w:val="22"/>
          <w:szCs w:val="22"/>
        </w:rPr>
        <w:t>*</w:t>
      </w:r>
      <w:proofErr w:type="spellStart"/>
      <w:r w:rsidRPr="00B45DEC">
        <w:rPr>
          <w:rFonts w:asciiTheme="minorBidi" w:hAnsiTheme="minorBidi" w:cstheme="minorBidi"/>
          <w:sz w:val="22"/>
          <w:szCs w:val="22"/>
        </w:rPr>
        <w:t>Ochranná</w:t>
      </w:r>
      <w:proofErr w:type="spellEnd"/>
      <w:r w:rsidRPr="00B45DEC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B45DEC">
        <w:rPr>
          <w:rFonts w:asciiTheme="minorBidi" w:hAnsiTheme="minorBidi" w:cstheme="minorBidi"/>
          <w:sz w:val="22"/>
          <w:szCs w:val="22"/>
        </w:rPr>
        <w:t>známka</w:t>
      </w:r>
      <w:proofErr w:type="spellEnd"/>
      <w:r w:rsidRPr="00B45DEC">
        <w:rPr>
          <w:rFonts w:asciiTheme="minorBidi" w:hAnsiTheme="minorBidi" w:cstheme="minorBidi"/>
          <w:sz w:val="22"/>
          <w:szCs w:val="22"/>
        </w:rPr>
        <w:t xml:space="preserve"> </w:t>
      </w:r>
      <w:r w:rsidRPr="00B45DEC">
        <w:rPr>
          <w:rFonts w:asciiTheme="minorBidi" w:hAnsiTheme="minorBidi" w:cstheme="minorBidi"/>
          <w:b/>
          <w:bCs/>
          <w:sz w:val="22"/>
          <w:szCs w:val="22"/>
        </w:rPr>
        <w:t xml:space="preserve">Dow </w:t>
      </w:r>
      <w:proofErr w:type="spellStart"/>
      <w:r w:rsidRPr="00B45DEC">
        <w:rPr>
          <w:rFonts w:asciiTheme="minorBidi" w:hAnsiTheme="minorBidi" w:cstheme="minorBidi"/>
          <w:b/>
          <w:bCs/>
          <w:sz w:val="22"/>
          <w:szCs w:val="22"/>
        </w:rPr>
        <w:t>AgroSciences</w:t>
      </w:r>
      <w:proofErr w:type="spellEnd"/>
      <w:r w:rsidRPr="00B45DEC">
        <w:rPr>
          <w:rFonts w:asciiTheme="minorBidi" w:hAnsiTheme="minorBidi" w:cstheme="minorBidi"/>
          <w:b/>
          <w:bCs/>
          <w:sz w:val="22"/>
          <w:szCs w:val="22"/>
        </w:rPr>
        <w:t xml:space="preserve"> LLC</w:t>
      </w:r>
    </w:p>
    <w:p w:rsidR="00321A39" w:rsidRPr="0001211D" w:rsidRDefault="00321A39" w:rsidP="00321A39">
      <w:pPr>
        <w:rPr>
          <w:lang w:val="cs-CZ"/>
        </w:rPr>
      </w:pPr>
    </w:p>
    <w:p w:rsidR="00321A39" w:rsidRPr="00B45DEC" w:rsidRDefault="00321A39" w:rsidP="00321A39">
      <w:pPr>
        <w:rPr>
          <w:rFonts w:asciiTheme="minorBidi" w:hAnsiTheme="minorBidi" w:cstheme="minorBidi"/>
          <w:b/>
          <w:sz w:val="22"/>
          <w:szCs w:val="22"/>
          <w:lang w:val="cs-CZ"/>
        </w:rPr>
      </w:pPr>
      <w:r w:rsidRPr="00B45DEC">
        <w:rPr>
          <w:rFonts w:asciiTheme="minorBidi" w:hAnsiTheme="minorBidi" w:cstheme="minorBidi"/>
          <w:b/>
          <w:sz w:val="22"/>
          <w:szCs w:val="22"/>
          <w:lang w:val="cs-CZ"/>
        </w:rPr>
        <w:t xml:space="preserve">Způsob působení: </w:t>
      </w:r>
    </w:p>
    <w:p w:rsidR="005D377B" w:rsidRPr="00321A39" w:rsidRDefault="005D377B">
      <w:pPr>
        <w:tabs>
          <w:tab w:val="left" w:pos="1702"/>
          <w:tab w:val="left" w:pos="6390"/>
        </w:tabs>
        <w:jc w:val="both"/>
        <w:rPr>
          <w:rFonts w:asciiTheme="minorBidi" w:hAnsiTheme="minorBidi" w:cstheme="minorBidi"/>
          <w:sz w:val="22"/>
          <w:szCs w:val="22"/>
          <w:lang w:val="cs-CZ"/>
        </w:rPr>
      </w:pPr>
      <w:r w:rsidRPr="00321A39">
        <w:rPr>
          <w:rFonts w:asciiTheme="minorBidi" w:hAnsiTheme="minorBidi" w:cstheme="minorBidi"/>
          <w:sz w:val="22"/>
          <w:szCs w:val="22"/>
          <w:lang w:val="cs-CZ"/>
        </w:rPr>
        <w:lastRenderedPageBreak/>
        <w:t xml:space="preserve">Přípravek </w:t>
      </w:r>
      <w:r w:rsidR="00656852" w:rsidRPr="00321A39">
        <w:rPr>
          <w:rFonts w:asciiTheme="minorBidi" w:hAnsiTheme="minorBidi" w:cstheme="minorBidi"/>
          <w:sz w:val="22"/>
          <w:szCs w:val="22"/>
          <w:lang w:val="cs-CZ"/>
        </w:rPr>
        <w:t>ZYPAR</w:t>
      </w:r>
      <w:r w:rsidRPr="00321A39">
        <w:rPr>
          <w:rFonts w:asciiTheme="minorBidi" w:hAnsiTheme="minorBidi" w:cstheme="minorBidi"/>
          <w:sz w:val="22"/>
          <w:szCs w:val="22"/>
          <w:lang w:val="cs-CZ"/>
        </w:rPr>
        <w:t xml:space="preserve"> proniká do rostlin převážně povrchem listů a lodyh. Působí jako systémový he</w:t>
      </w:r>
      <w:r w:rsidR="00656852" w:rsidRPr="00321A39">
        <w:rPr>
          <w:rFonts w:asciiTheme="minorBidi" w:hAnsiTheme="minorBidi" w:cstheme="minorBidi"/>
          <w:sz w:val="22"/>
          <w:szCs w:val="22"/>
          <w:lang w:val="cs-CZ"/>
        </w:rPr>
        <w:t xml:space="preserve">rbicid (regulátor růstu). </w:t>
      </w:r>
      <w:r w:rsidR="00A66090" w:rsidRPr="00321A39">
        <w:rPr>
          <w:rFonts w:asciiTheme="minorBidi" w:hAnsiTheme="minorBidi" w:cstheme="minorBidi"/>
          <w:sz w:val="22"/>
          <w:szCs w:val="22"/>
          <w:lang w:val="cs-CZ"/>
        </w:rPr>
        <w:t>Arylex</w:t>
      </w:r>
      <w:r w:rsidR="00A66090" w:rsidRPr="00321A39">
        <w:rPr>
          <w:rFonts w:asciiTheme="minorBidi" w:hAnsiTheme="minorBidi" w:cstheme="minorBidi"/>
          <w:sz w:val="22"/>
          <w:szCs w:val="22"/>
          <w:vertAlign w:val="superscript"/>
          <w:lang w:val="cs-CZ"/>
        </w:rPr>
        <w:t>TM</w:t>
      </w:r>
      <w:r w:rsidR="00700742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Pr="00321A39">
        <w:rPr>
          <w:rFonts w:asciiTheme="minorBidi" w:hAnsiTheme="minorBidi" w:cstheme="minorBidi"/>
          <w:sz w:val="22"/>
          <w:szCs w:val="22"/>
          <w:lang w:val="cs-CZ"/>
        </w:rPr>
        <w:t xml:space="preserve">náleží </w:t>
      </w:r>
      <w:r w:rsidR="00A5159E" w:rsidRPr="00321A39">
        <w:rPr>
          <w:rFonts w:asciiTheme="minorBidi" w:hAnsiTheme="minorBidi" w:cstheme="minorBidi"/>
          <w:sz w:val="22"/>
          <w:szCs w:val="22"/>
          <w:lang w:val="cs-CZ"/>
        </w:rPr>
        <w:t>mezi syntetické auxiny (skupina arylpikolinátů) a účinná látka florasulam patří mezi ALS inhibitory (skupina triazolopyrimidinů)</w:t>
      </w:r>
      <w:r w:rsidRPr="00321A39">
        <w:rPr>
          <w:rFonts w:asciiTheme="minorBidi" w:hAnsiTheme="minorBidi" w:cstheme="minorBidi"/>
          <w:sz w:val="22"/>
          <w:szCs w:val="22"/>
          <w:lang w:val="cs-CZ"/>
        </w:rPr>
        <w:t xml:space="preserve">. V rostlině jsou účinné látky rozváděny akropetálně i bazipetálně. Citlivé plevele krátce po postřiku zastavují růst. Dochází k deformaci a dekoloraci listů a lodyh plevelů. Plevel po aplikaci přestává konkurovat kulturní plodině a začíná postupně odumírat. První symptomy jsou viditelné, v závislosti na plevelném druhu, za 1-7 dnů po aplikaci a během následujících 4-6 týdnů dochází k postupnému uhynutí plevelů. </w:t>
      </w:r>
    </w:p>
    <w:p w:rsidR="005D377B" w:rsidRPr="00715566" w:rsidRDefault="005D377B">
      <w:pPr>
        <w:tabs>
          <w:tab w:val="left" w:pos="6390"/>
        </w:tabs>
        <w:jc w:val="both"/>
        <w:rPr>
          <w:sz w:val="10"/>
          <w:lang w:val="cs-CZ"/>
        </w:rPr>
      </w:pPr>
    </w:p>
    <w:p w:rsidR="005D377B" w:rsidRPr="00715566" w:rsidRDefault="005D377B">
      <w:pPr>
        <w:tabs>
          <w:tab w:val="left" w:pos="6390"/>
        </w:tabs>
        <w:jc w:val="both"/>
        <w:rPr>
          <w:b/>
          <w:lang w:val="cs-CZ"/>
        </w:rPr>
      </w:pPr>
    </w:p>
    <w:p w:rsidR="00321A39" w:rsidRPr="00BE2958" w:rsidRDefault="00321A39" w:rsidP="00321A39">
      <w:p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Návod</w:t>
      </w:r>
      <w:proofErr w:type="spellEnd"/>
      <w:r w:rsidRPr="00BE2958">
        <w:rPr>
          <w:rFonts w:asciiTheme="minorBidi" w:hAnsiTheme="minorBidi" w:cstheme="minorBidi"/>
          <w:b/>
          <w:sz w:val="22"/>
          <w:szCs w:val="22"/>
        </w:rPr>
        <w:t xml:space="preserve"> k </w:t>
      </w:r>
      <w:proofErr w:type="spellStart"/>
      <w:r w:rsidRPr="00BE2958">
        <w:rPr>
          <w:rFonts w:asciiTheme="minorBidi" w:hAnsiTheme="minorBidi" w:cstheme="minorBidi"/>
          <w:b/>
          <w:sz w:val="22"/>
          <w:szCs w:val="22"/>
        </w:rPr>
        <w:t>použití</w:t>
      </w:r>
      <w:proofErr w:type="spellEnd"/>
    </w:p>
    <w:tbl>
      <w:tblPr>
        <w:tblpPr w:leftFromText="180" w:rightFromText="180" w:vertAnchor="text" w:horzAnchor="margin" w:tblpY="9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397"/>
        <w:gridCol w:w="1353"/>
        <w:gridCol w:w="450"/>
        <w:gridCol w:w="2952"/>
      </w:tblGrid>
      <w:tr w:rsidR="009154E8" w:rsidRPr="00A6400C" w:rsidTr="00715566">
        <w:tc>
          <w:tcPr>
            <w:tcW w:w="2905" w:type="dxa"/>
          </w:tcPr>
          <w:p w:rsidR="009154E8" w:rsidRPr="00321A39" w:rsidRDefault="009154E8" w:rsidP="00321A39">
            <w:pPr>
              <w:tabs>
                <w:tab w:val="left" w:pos="6390"/>
              </w:tabs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>Plodina, oblast použití.</w:t>
            </w:r>
          </w:p>
        </w:tc>
        <w:tc>
          <w:tcPr>
            <w:tcW w:w="2397" w:type="dxa"/>
          </w:tcPr>
          <w:p w:rsidR="00AF7652" w:rsidRPr="00321A39" w:rsidRDefault="009154E8" w:rsidP="00321A39">
            <w:pPr>
              <w:tabs>
                <w:tab w:val="left" w:pos="6390"/>
              </w:tabs>
              <w:ind w:left="25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Škodlivý organismus, </w:t>
            </w:r>
          </w:p>
          <w:p w:rsidR="009154E8" w:rsidRPr="00321A39" w:rsidRDefault="009154E8" w:rsidP="00321A39">
            <w:pPr>
              <w:tabs>
                <w:tab w:val="left" w:pos="6390"/>
              </w:tabs>
              <w:ind w:left="25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>jiný účel použití</w:t>
            </w:r>
          </w:p>
        </w:tc>
        <w:tc>
          <w:tcPr>
            <w:tcW w:w="1353" w:type="dxa"/>
          </w:tcPr>
          <w:p w:rsidR="009154E8" w:rsidRPr="00321A39" w:rsidRDefault="00AF7652" w:rsidP="00321A39">
            <w:pPr>
              <w:tabs>
                <w:tab w:val="left" w:pos="6390"/>
              </w:tabs>
              <w:ind w:left="51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>Maximální aplikační dávka</w:t>
            </w:r>
            <w:r w:rsidR="0023541A"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 l/ha</w:t>
            </w:r>
          </w:p>
        </w:tc>
        <w:tc>
          <w:tcPr>
            <w:tcW w:w="450" w:type="dxa"/>
          </w:tcPr>
          <w:p w:rsidR="009154E8" w:rsidRPr="00321A39" w:rsidRDefault="009154E8" w:rsidP="00321A39">
            <w:pPr>
              <w:tabs>
                <w:tab w:val="left" w:pos="6390"/>
              </w:tabs>
              <w:ind w:left="-30"/>
              <w:jc w:val="center"/>
              <w:outlineLvl w:val="4"/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>OL</w:t>
            </w:r>
          </w:p>
        </w:tc>
        <w:tc>
          <w:tcPr>
            <w:tcW w:w="2952" w:type="dxa"/>
          </w:tcPr>
          <w:p w:rsidR="00F15A61" w:rsidRPr="00321A39" w:rsidRDefault="00F15A61" w:rsidP="00321A39">
            <w:pPr>
              <w:tabs>
                <w:tab w:val="left" w:pos="6390"/>
              </w:tabs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Poznámka </w:t>
            </w:r>
          </w:p>
          <w:p w:rsidR="00F15A61" w:rsidRPr="00321A39" w:rsidRDefault="00F15A61" w:rsidP="00321A39">
            <w:pPr>
              <w:pStyle w:val="Default"/>
              <w:tabs>
                <w:tab w:val="left" w:pos="6390"/>
              </w:tabs>
              <w:adjustRightInd/>
              <w:rPr>
                <w:rFonts w:asciiTheme="minorBidi" w:hAnsiTheme="minorBidi" w:cstheme="minorBidi"/>
                <w:b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color w:val="auto"/>
                <w:lang w:val="cs-CZ" w:eastAsia="cs-CZ"/>
              </w:rPr>
              <w:t xml:space="preserve">1) k plodině </w:t>
            </w:r>
          </w:p>
          <w:p w:rsidR="00F15A61" w:rsidRPr="00321A39" w:rsidRDefault="00F15A61" w:rsidP="00321A39">
            <w:pPr>
              <w:pStyle w:val="Default"/>
              <w:tabs>
                <w:tab w:val="left" w:pos="6390"/>
              </w:tabs>
              <w:adjustRightInd/>
              <w:rPr>
                <w:rFonts w:asciiTheme="minorBidi" w:hAnsiTheme="minorBidi" w:cstheme="minorBidi"/>
                <w:b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color w:val="auto"/>
                <w:lang w:val="cs-CZ" w:eastAsia="cs-CZ"/>
              </w:rPr>
              <w:t xml:space="preserve">2) k ŠO </w:t>
            </w:r>
          </w:p>
          <w:p w:rsidR="009154E8" w:rsidRPr="00321A39" w:rsidRDefault="00F15A61" w:rsidP="00321A39">
            <w:pPr>
              <w:tabs>
                <w:tab w:val="left" w:pos="6390"/>
              </w:tabs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3) k OL </w:t>
            </w:r>
          </w:p>
        </w:tc>
      </w:tr>
      <w:tr w:rsidR="009154E8" w:rsidRPr="00715566" w:rsidTr="00715566">
        <w:trPr>
          <w:trHeight w:val="20"/>
        </w:trPr>
        <w:tc>
          <w:tcPr>
            <w:tcW w:w="2905" w:type="dxa"/>
            <w:vAlign w:val="center"/>
          </w:tcPr>
          <w:p w:rsidR="009154E8" w:rsidRPr="00321A39" w:rsidRDefault="002F5C9B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Pšenice ozimá,</w:t>
            </w:r>
            <w:r w:rsidR="00AF7652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 </w:t>
            </w: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ječmen ozimý, žito ozimé, tritikale ozimé</w:t>
            </w:r>
          </w:p>
        </w:tc>
        <w:tc>
          <w:tcPr>
            <w:tcW w:w="2397" w:type="dxa"/>
          </w:tcPr>
          <w:p w:rsidR="009154E8" w:rsidRPr="00321A39" w:rsidRDefault="00AF7652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P</w:t>
            </w:r>
            <w:r w:rsidR="00387FBB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levele</w:t>
            </w: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 </w:t>
            </w:r>
            <w:r w:rsidR="00387FBB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dvouděložné jednoleté</w:t>
            </w:r>
          </w:p>
        </w:tc>
        <w:tc>
          <w:tcPr>
            <w:tcW w:w="1353" w:type="dxa"/>
          </w:tcPr>
          <w:p w:rsidR="009154E8" w:rsidRPr="00321A39" w:rsidRDefault="00AF7652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0,75</w:t>
            </w:r>
            <w:r w:rsidR="00DB77D2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 l/ha</w:t>
            </w:r>
          </w:p>
        </w:tc>
        <w:tc>
          <w:tcPr>
            <w:tcW w:w="450" w:type="dxa"/>
          </w:tcPr>
          <w:p w:rsidR="009154E8" w:rsidRPr="00321A39" w:rsidRDefault="00A16284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AT</w:t>
            </w:r>
          </w:p>
        </w:tc>
        <w:tc>
          <w:tcPr>
            <w:tcW w:w="2952" w:type="dxa"/>
          </w:tcPr>
          <w:p w:rsidR="00AF7652" w:rsidRPr="00321A39" w:rsidRDefault="00121C88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od </w:t>
            </w:r>
            <w:r w:rsidR="00AF7652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BBCH 11, </w:t>
            </w:r>
          </w:p>
          <w:p w:rsidR="009154E8" w:rsidRPr="00321A39" w:rsidRDefault="002B038F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do: 45 BBCH, na podzim </w:t>
            </w:r>
          </w:p>
        </w:tc>
      </w:tr>
      <w:tr w:rsidR="00121C88" w:rsidRPr="00715566" w:rsidTr="00715566">
        <w:trPr>
          <w:trHeight w:val="20"/>
        </w:trPr>
        <w:tc>
          <w:tcPr>
            <w:tcW w:w="2905" w:type="dxa"/>
            <w:vAlign w:val="center"/>
          </w:tcPr>
          <w:p w:rsidR="00121C88" w:rsidRPr="00321A39" w:rsidRDefault="00A16284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Pšenice ozimá, ječmen ozimý, žito ozimé, tritikale ozimé</w:t>
            </w:r>
          </w:p>
        </w:tc>
        <w:tc>
          <w:tcPr>
            <w:tcW w:w="2397" w:type="dxa"/>
          </w:tcPr>
          <w:p w:rsidR="00121C88" w:rsidRPr="00321A39" w:rsidRDefault="00121C88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Plevele dvouděložné jednoleté</w:t>
            </w:r>
          </w:p>
        </w:tc>
        <w:tc>
          <w:tcPr>
            <w:tcW w:w="1353" w:type="dxa"/>
          </w:tcPr>
          <w:p w:rsidR="00121C88" w:rsidRPr="00321A39" w:rsidRDefault="002B038F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0,75-</w:t>
            </w:r>
            <w:r w:rsidR="00121C88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1,0</w:t>
            </w:r>
            <w:r w:rsidR="00DB77D2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 l/ha</w:t>
            </w:r>
            <w:r w:rsidR="00121C88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 </w:t>
            </w:r>
          </w:p>
        </w:tc>
        <w:tc>
          <w:tcPr>
            <w:tcW w:w="450" w:type="dxa"/>
          </w:tcPr>
          <w:p w:rsidR="00121C88" w:rsidRPr="00321A39" w:rsidRDefault="00A16284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AT</w:t>
            </w:r>
          </w:p>
        </w:tc>
        <w:tc>
          <w:tcPr>
            <w:tcW w:w="2952" w:type="dxa"/>
          </w:tcPr>
          <w:p w:rsidR="00121C88" w:rsidRPr="00321A39" w:rsidRDefault="002B038F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od: 11 B</w:t>
            </w:r>
            <w:r w:rsidR="00715566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B</w:t>
            </w: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CH, do: 45 BBCH, </w:t>
            </w:r>
            <w:r w:rsidR="00A16284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na jaře</w:t>
            </w:r>
          </w:p>
        </w:tc>
      </w:tr>
      <w:tr w:rsidR="00121C88" w:rsidRPr="00715566" w:rsidTr="00715566">
        <w:trPr>
          <w:trHeight w:val="20"/>
        </w:trPr>
        <w:tc>
          <w:tcPr>
            <w:tcW w:w="2905" w:type="dxa"/>
            <w:vAlign w:val="center"/>
          </w:tcPr>
          <w:p w:rsidR="00121C88" w:rsidRPr="00321A39" w:rsidRDefault="00121C88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Pšenice jarní, ječmen jarní, žito jarní</w:t>
            </w:r>
          </w:p>
        </w:tc>
        <w:tc>
          <w:tcPr>
            <w:tcW w:w="2397" w:type="dxa"/>
          </w:tcPr>
          <w:p w:rsidR="00121C88" w:rsidRPr="00321A39" w:rsidRDefault="00121C88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Plevele dvouděložné jednoleté</w:t>
            </w:r>
          </w:p>
        </w:tc>
        <w:tc>
          <w:tcPr>
            <w:tcW w:w="1353" w:type="dxa"/>
          </w:tcPr>
          <w:p w:rsidR="00121C88" w:rsidRPr="00321A39" w:rsidRDefault="008A02DE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0,75-</w:t>
            </w:r>
            <w:r w:rsidR="00121C88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1,0</w:t>
            </w:r>
            <w:r w:rsidR="00DB77D2"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 l/ha</w:t>
            </w:r>
          </w:p>
        </w:tc>
        <w:tc>
          <w:tcPr>
            <w:tcW w:w="450" w:type="dxa"/>
          </w:tcPr>
          <w:p w:rsidR="00121C88" w:rsidRPr="00321A39" w:rsidRDefault="00A16284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AT</w:t>
            </w:r>
          </w:p>
        </w:tc>
        <w:tc>
          <w:tcPr>
            <w:tcW w:w="2952" w:type="dxa"/>
          </w:tcPr>
          <w:p w:rsidR="00121C88" w:rsidRPr="00321A39" w:rsidRDefault="00121C88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od BBCH 13, do BBCH 45 </w:t>
            </w:r>
          </w:p>
        </w:tc>
      </w:tr>
    </w:tbl>
    <w:p w:rsidR="00FF5222" w:rsidRPr="00715566" w:rsidRDefault="00FF5222">
      <w:pPr>
        <w:tabs>
          <w:tab w:val="left" w:pos="6390"/>
        </w:tabs>
        <w:jc w:val="both"/>
        <w:rPr>
          <w:i/>
          <w:sz w:val="20"/>
          <w:lang w:val="cs-CZ"/>
        </w:rPr>
      </w:pPr>
      <w:r w:rsidRPr="00715566">
        <w:rPr>
          <w:i/>
          <w:sz w:val="20"/>
          <w:lang w:val="cs-CZ"/>
        </w:rPr>
        <w:t>AT – ochranná lhůta je dána odstupem mezi termínem aplikace (poslední aplikace) a sklizní.</w:t>
      </w:r>
    </w:p>
    <w:p w:rsidR="009154E8" w:rsidRDefault="009154E8">
      <w:pPr>
        <w:jc w:val="both"/>
        <w:rPr>
          <w:szCs w:val="24"/>
          <w:lang w:val="cs-CZ"/>
        </w:rPr>
      </w:pPr>
    </w:p>
    <w:tbl>
      <w:tblPr>
        <w:tblpPr w:leftFromText="180" w:rightFromText="180" w:vertAnchor="text" w:horzAnchor="margin" w:tblpY="9"/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1800"/>
        <w:gridCol w:w="1915"/>
        <w:gridCol w:w="3215"/>
      </w:tblGrid>
      <w:tr w:rsidR="00E76BA9" w:rsidRPr="001A7490" w:rsidTr="00135F72">
        <w:tc>
          <w:tcPr>
            <w:tcW w:w="3142" w:type="dxa"/>
          </w:tcPr>
          <w:p w:rsidR="00E76BA9" w:rsidRPr="00321A39" w:rsidRDefault="00E76BA9" w:rsidP="00321A39">
            <w:pPr>
              <w:tabs>
                <w:tab w:val="left" w:pos="6390"/>
              </w:tabs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>Plodina, oblast použití</w:t>
            </w:r>
          </w:p>
        </w:tc>
        <w:tc>
          <w:tcPr>
            <w:tcW w:w="1800" w:type="dxa"/>
          </w:tcPr>
          <w:p w:rsidR="00E76BA9" w:rsidRPr="00321A39" w:rsidRDefault="00E76BA9" w:rsidP="00321A39">
            <w:pPr>
              <w:tabs>
                <w:tab w:val="left" w:pos="6390"/>
              </w:tabs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Dávka vody </w:t>
            </w:r>
          </w:p>
        </w:tc>
        <w:tc>
          <w:tcPr>
            <w:tcW w:w="1915" w:type="dxa"/>
          </w:tcPr>
          <w:p w:rsidR="00E76BA9" w:rsidRPr="00321A39" w:rsidRDefault="00E76BA9" w:rsidP="00321A39">
            <w:pPr>
              <w:tabs>
                <w:tab w:val="left" w:pos="6390"/>
              </w:tabs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Způsob aplikace </w:t>
            </w:r>
          </w:p>
        </w:tc>
        <w:tc>
          <w:tcPr>
            <w:tcW w:w="3215" w:type="dxa"/>
          </w:tcPr>
          <w:p w:rsidR="00E76BA9" w:rsidRPr="00321A39" w:rsidRDefault="00E76BA9" w:rsidP="00321A39">
            <w:pPr>
              <w:tabs>
                <w:tab w:val="left" w:pos="6390"/>
              </w:tabs>
              <w:rPr>
                <w:rFonts w:asciiTheme="minorBidi" w:hAnsiTheme="minorBidi" w:cstheme="minorBidi"/>
                <w:b/>
                <w:szCs w:val="24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b/>
                <w:szCs w:val="24"/>
                <w:lang w:val="cs-CZ" w:eastAsia="cs-CZ"/>
              </w:rPr>
              <w:t xml:space="preserve">Max. počet aplikací v plodině </w:t>
            </w:r>
          </w:p>
        </w:tc>
      </w:tr>
      <w:tr w:rsidR="00E76BA9" w:rsidRPr="001A7490" w:rsidTr="00135F72">
        <w:trPr>
          <w:trHeight w:val="20"/>
        </w:trPr>
        <w:tc>
          <w:tcPr>
            <w:tcW w:w="3142" w:type="dxa"/>
            <w:vAlign w:val="center"/>
          </w:tcPr>
          <w:p w:rsidR="00E76BA9" w:rsidRPr="00321A39" w:rsidRDefault="00E76BA9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ječmen, pšenice, tritikale, žito </w:t>
            </w:r>
          </w:p>
        </w:tc>
        <w:tc>
          <w:tcPr>
            <w:tcW w:w="1800" w:type="dxa"/>
          </w:tcPr>
          <w:p w:rsidR="00E76BA9" w:rsidRPr="00321A39" w:rsidRDefault="00E76BA9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100-400 l/ha </w:t>
            </w:r>
          </w:p>
        </w:tc>
        <w:tc>
          <w:tcPr>
            <w:tcW w:w="1915" w:type="dxa"/>
          </w:tcPr>
          <w:p w:rsidR="00E76BA9" w:rsidRPr="00321A39" w:rsidRDefault="00E76BA9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 xml:space="preserve">postřik </w:t>
            </w:r>
          </w:p>
        </w:tc>
        <w:tc>
          <w:tcPr>
            <w:tcW w:w="3215" w:type="dxa"/>
          </w:tcPr>
          <w:p w:rsidR="00E76BA9" w:rsidRPr="00321A39" w:rsidRDefault="00E76BA9" w:rsidP="00321A39">
            <w:pPr>
              <w:pStyle w:val="Default"/>
              <w:rPr>
                <w:rFonts w:asciiTheme="minorBidi" w:hAnsiTheme="minorBidi" w:cstheme="minorBidi"/>
                <w:color w:val="auto"/>
                <w:lang w:val="cs-CZ" w:eastAsia="cs-CZ"/>
              </w:rPr>
            </w:pPr>
            <w:r w:rsidRPr="00321A39">
              <w:rPr>
                <w:rFonts w:asciiTheme="minorBidi" w:hAnsiTheme="minorBidi" w:cstheme="minorBidi"/>
                <w:color w:val="auto"/>
                <w:lang w:val="cs-CZ" w:eastAsia="cs-CZ"/>
              </w:rPr>
              <w:t>1x</w:t>
            </w:r>
          </w:p>
        </w:tc>
      </w:tr>
    </w:tbl>
    <w:p w:rsidR="00B81FF8" w:rsidRPr="00715566" w:rsidRDefault="00B81FF8">
      <w:pPr>
        <w:jc w:val="both"/>
        <w:rPr>
          <w:szCs w:val="24"/>
          <w:lang w:val="cs-CZ"/>
        </w:rPr>
      </w:pPr>
    </w:p>
    <w:p w:rsidR="005D377B" w:rsidRPr="00321A39" w:rsidRDefault="00D62A71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sz w:val="22"/>
          <w:szCs w:val="22"/>
          <w:lang w:val="cs-CZ" w:eastAsia="cs-CZ"/>
        </w:rPr>
        <w:t>ZYPAR</w:t>
      </w:r>
      <w:r w:rsidR="005D377B" w:rsidRPr="00321A39">
        <w:rPr>
          <w:rFonts w:asciiTheme="minorBidi" w:hAnsiTheme="minorBidi" w:cstheme="minorBidi"/>
          <w:sz w:val="22"/>
          <w:szCs w:val="22"/>
          <w:lang w:val="cs-CZ" w:eastAsia="cs-CZ"/>
        </w:rPr>
        <w:t xml:space="preserve"> nelze použít v ovsu setém a v obilninách podsetých vikvovitými rostlinami.</w:t>
      </w:r>
    </w:p>
    <w:p w:rsidR="00387FBB" w:rsidRPr="00715566" w:rsidRDefault="00387FBB">
      <w:pPr>
        <w:jc w:val="both"/>
        <w:rPr>
          <w:szCs w:val="24"/>
          <w:lang w:val="cs-CZ"/>
        </w:rPr>
      </w:pPr>
    </w:p>
    <w:p w:rsidR="00321A39" w:rsidRPr="003D0255" w:rsidRDefault="00321A39" w:rsidP="00321A39">
      <w:pPr>
        <w:keepNext/>
        <w:rPr>
          <w:rFonts w:asciiTheme="minorBidi" w:hAnsiTheme="minorBidi" w:cstheme="minorBidi"/>
          <w:color w:val="808080"/>
          <w:sz w:val="22"/>
          <w:szCs w:val="22"/>
          <w:lang w:val="cs-CZ"/>
        </w:rPr>
      </w:pPr>
      <w:r w:rsidRPr="003D0255">
        <w:rPr>
          <w:rFonts w:asciiTheme="minorBidi" w:hAnsiTheme="minorBidi" w:cstheme="minorBidi"/>
          <w:b/>
          <w:sz w:val="22"/>
          <w:szCs w:val="22"/>
          <w:lang w:val="cs-CZ"/>
        </w:rPr>
        <w:t>Upřesnění použití: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Ozimé obilniny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Přípravek ZYPAR lze aplikovat v na podzim nebo na jaře, a to v růstové fázi plodiny BBCH 11-45 (1. list rozvinutý až pochva praporcového listu naduřelá).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Jarní obilniny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Přípravek ZYPAR lze aplikovat v růstové fázi plodiny BBCH 13-45 (3. list rozvinutý až pochva praporcového listu naduřelá). </w:t>
      </w:r>
    </w:p>
    <w:p w:rsidR="00772156" w:rsidRPr="00321A39" w:rsidRDefault="00772156" w:rsidP="00726639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Optimální termín aplikace je na mladé, aktivně rostoucí plevele. Některé citlivé plevele (svízel přítula, hluchavka nachová) jsou kontrolovány i ve vyšších růstových fázích. V případě pokročilejších růstových fází plevelů použijte vyšší dávku z rozpětí. </w:t>
      </w:r>
    </w:p>
    <w:p w:rsidR="00772156" w:rsidRPr="00321A39" w:rsidRDefault="00772156" w:rsidP="00726639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Spektrum účinnosti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Podzimní termín aplikace - dávka 0,75 l/ha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Citlivé plevele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hluchavka nachová, výdrol řepky ozimé, svízel přítula, heřmánek pravý, heřmánkovec nevonný, mák vlčí, ptačinec prostřední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Jarní termín aplikace - dávka 0,75-1 l/ha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Citlivé plevele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kokoška pastuší tobolka, zemědým lékařský, kakost maličký, hluchavka nachová, výdrol řepky ozimé, svízel přítula, heřmánek pravý, heřmánkovec nevonný, mák vlčí, ptačinec prostřední, merlík bílý, pohanka svlačcovitá. </w:t>
      </w:r>
    </w:p>
    <w:p w:rsidR="00772156" w:rsidRPr="00321A39" w:rsidRDefault="0077215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Méně citlivé plevele </w:t>
      </w:r>
    </w:p>
    <w:p w:rsidR="00772156" w:rsidRPr="00321A39" w:rsidRDefault="00715566" w:rsidP="00E176A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konopice polní.</w:t>
      </w:r>
    </w:p>
    <w:p w:rsidR="00715566" w:rsidRPr="00715566" w:rsidRDefault="00715566" w:rsidP="00E176A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 w:eastAsia="en-GB"/>
        </w:rPr>
      </w:pPr>
    </w:p>
    <w:p w:rsidR="00772156" w:rsidRPr="00321A39" w:rsidRDefault="00772156" w:rsidP="00321A3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Nepoužívejte v poškozených či oslabených porostech. Při aplikaci v pšenici špaldě nelze vyloučit přechodnou fytotoxicitu v podobě zbrzdění růstu a chloróz.</w:t>
      </w:r>
    </w:p>
    <w:p w:rsidR="00772156" w:rsidRPr="00321A39" w:rsidRDefault="00772156" w:rsidP="00321A3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Postřik nesmí zasáhnout sousední plodiny (především citlivé plodiny jako jsou réva vinná, chmel, ovocné kultury, slunečnice, řepka olejka, luskoviny, zelenina, len, cukrovka, brambory a okrasné rostliny). </w:t>
      </w:r>
    </w:p>
    <w:p w:rsidR="009E2ADA" w:rsidRPr="00321A39" w:rsidRDefault="009E2ADA" w:rsidP="00321A3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</w:p>
    <w:p w:rsidR="00D62A71" w:rsidRPr="00321A39" w:rsidRDefault="00D62A71" w:rsidP="00321A3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ZYPAR lze aplikovat v širokém rozmezí teplot, a to od 2</w:t>
      </w:r>
      <w:r w:rsidR="000D39BD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°C do 25</w:t>
      </w:r>
      <w:r w:rsidR="000D39BD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°C, </w:t>
      </w:r>
      <w:r w:rsidR="007E68AC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v průběhu</w:t>
      </w:r>
      <w:r w:rsidR="00A5159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vlhčích i sušších podmínek. V případě déletrvajícího sucha může dojít k mírnému poklesu účinnosti.</w:t>
      </w:r>
    </w:p>
    <w:p w:rsidR="0023381E" w:rsidRPr="00321A39" w:rsidRDefault="00A5159E" w:rsidP="00321A3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Neaplikujte přípravek v průběhu stresových podmínek (mráz, silné sucho, podmáčení porostu, nedostatek živin, při výskytu houbových chorob nebo poškození škůdci)</w:t>
      </w:r>
      <w:r w:rsidR="00A66090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, neboť přípravek</w:t>
      </w:r>
      <w:r w:rsidR="0067686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může občas způsobit mírné a přechodné (v délce trvání 2-3 týdnů) prožloutnutí porostu. Tyto projevy nemají vliv na výši a kvalitu sklizně.</w:t>
      </w:r>
      <w:r w:rsidR="0083064C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</w:t>
      </w:r>
    </w:p>
    <w:p w:rsidR="00E02BC8" w:rsidRPr="00321A39" w:rsidRDefault="00E02BC8" w:rsidP="00321A3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</w:p>
    <w:p w:rsidR="00D62A71" w:rsidRPr="00321A39" w:rsidRDefault="0067686E" w:rsidP="00321A39">
      <w:p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Dávka postřikové kapaliny na 1 ha činí 100 - 400 l, v závislosti na termínu aplikace a pokryvnosti porostu kulturní plodiny. Nižší dávka vody je určena na plevele v nižších růstových fázích a při nižší pokryvnosti kulturní plodinou.</w:t>
      </w:r>
      <w:r w:rsidR="00D62A71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Vyšší dávku vody volíme v případě pozdních aplikací a vyšší pokryvnosti plodinou.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Přípravek je odolný dešti 1 hodinu po aplikaci. </w:t>
      </w:r>
      <w:r w:rsidR="00D62A71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Doporučený minimální tlak při aplikaci je 2-3 bary.</w:t>
      </w:r>
      <w:r w:rsidR="00E02BC8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Použití nízkoúletových trysek je doporučeno.</w:t>
      </w:r>
    </w:p>
    <w:p w:rsidR="0067686E" w:rsidRPr="00321A39" w:rsidRDefault="0067686E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</w:p>
    <w:p w:rsidR="005D377B" w:rsidRPr="00321A39" w:rsidRDefault="0023381E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>Náhradní</w:t>
      </w:r>
      <w:r w:rsidR="005D377B"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 plodiny:</w:t>
      </w: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 </w:t>
      </w:r>
    </w:p>
    <w:p w:rsidR="00E644C0" w:rsidRPr="00321A39" w:rsidRDefault="00E644C0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>Podzimní aplikace</w:t>
      </w:r>
    </w:p>
    <w:p w:rsidR="005D377B" w:rsidRPr="00321A39" w:rsidRDefault="005D377B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V případě zaorávky obilniny ošetřené přípravkem </w:t>
      </w:r>
      <w:r w:rsidR="0023381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ZYPAR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v dávce 0,</w:t>
      </w:r>
      <w:r w:rsidR="0023381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7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5 l/ha</w:t>
      </w:r>
      <w:r w:rsidR="0023381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na podzim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může být jako náhradní</w:t>
      </w:r>
      <w:r w:rsidR="0023381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jarní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plodina vyseta:</w:t>
      </w:r>
    </w:p>
    <w:p w:rsidR="0067686E" w:rsidRPr="00321A39" w:rsidRDefault="0023381E" w:rsidP="00321A3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pšenice jarní, ječmen jarní, kukuřice </w:t>
      </w:r>
      <w:r w:rsidR="0067686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nebo jílek vytrvalý; výsev náhradní plodiny je možný 1 měsíc po aplikaci přípravku bez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podmínky</w:t>
      </w:r>
      <w:r w:rsidR="0067686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kultivačního zásahu</w:t>
      </w:r>
    </w:p>
    <w:p w:rsidR="0067686E" w:rsidRPr="00321A39" w:rsidRDefault="0023381E" w:rsidP="00321A3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slunečnice</w:t>
      </w:r>
      <w:r w:rsidR="0067686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, jarní řepka, hrách, bob; výsev náhradní plodiny je možný 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3</w:t>
      </w:r>
      <w:r w:rsidR="0067686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měsíce po aplikaci přípravku a po provedené </w:t>
      </w:r>
      <w:r w:rsidR="00A66090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orbě</w:t>
      </w:r>
    </w:p>
    <w:p w:rsidR="00E644C0" w:rsidRPr="00321A39" w:rsidRDefault="00772156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>Jarní</w:t>
      </w:r>
      <w:r w:rsidR="00E644C0"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 xml:space="preserve"> aplikace</w:t>
      </w:r>
    </w:p>
    <w:p w:rsidR="0023381E" w:rsidRPr="00321A39" w:rsidRDefault="0023381E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V případě zaorávky obilniny ošetřené přípravkem ZYPAR v dávce 1,0 l/ha na jaře může být jako náhradní plodina vyseta:</w:t>
      </w:r>
    </w:p>
    <w:p w:rsidR="0023381E" w:rsidRPr="00321A39" w:rsidRDefault="0023381E" w:rsidP="00321A3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pšenice jarní nebo ječmen jarní; výsev náhradní plodiny je možný 1 měsíc po aplikaci přípravku bez podmínky kultivačního zásahu</w:t>
      </w:r>
    </w:p>
    <w:p w:rsidR="0023381E" w:rsidRPr="00321A39" w:rsidRDefault="0023381E" w:rsidP="00321A3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kukuřice; výsev náhradní plodiny je možný 2 měsíce po aplikaci přípravku a po provedené orbě</w:t>
      </w:r>
      <w:r w:rsidR="00700742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</w:t>
      </w:r>
    </w:p>
    <w:p w:rsidR="0067686E" w:rsidRPr="00715566" w:rsidRDefault="0067686E">
      <w:pPr>
        <w:tabs>
          <w:tab w:val="left" w:pos="6390"/>
        </w:tabs>
        <w:jc w:val="both"/>
        <w:rPr>
          <w:szCs w:val="24"/>
          <w:lang w:val="cs-CZ"/>
        </w:rPr>
      </w:pPr>
    </w:p>
    <w:p w:rsidR="0023381E" w:rsidRPr="00321A39" w:rsidRDefault="0023381E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>Následné plodiny:</w:t>
      </w:r>
    </w:p>
    <w:p w:rsidR="005D377B" w:rsidRPr="00321A39" w:rsidRDefault="005D377B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Po </w:t>
      </w:r>
      <w:r w:rsidR="000D39BD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normální 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sklizni obilniny ošetřené přípravkem </w:t>
      </w:r>
      <w:r w:rsidR="0023381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ZYPAR v dávce 1,0</w:t>
      </w: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l/ha mohou být vysety </w:t>
      </w:r>
      <w:r w:rsidR="0023381E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>plodiny bez omezení; pro citlivější plodiny, jako jsou sója, jetel, čočka nebo slunečnice je doporučeno provést</w:t>
      </w:r>
      <w:r w:rsidR="00E02BC8"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 před setím orbu.</w:t>
      </w:r>
    </w:p>
    <w:p w:rsidR="00726639" w:rsidRPr="00321A39" w:rsidRDefault="00726639" w:rsidP="00321A39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</w:p>
    <w:p w:rsidR="00666331" w:rsidRPr="00321A39" w:rsidRDefault="00666331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u w:val="single"/>
          <w:lang w:val="cs-CZ" w:eastAsia="cs-CZ"/>
        </w:rPr>
        <w:t>Antirezistentní strategie</w:t>
      </w:r>
    </w:p>
    <w:p w:rsidR="00FF5222" w:rsidRPr="00321A39" w:rsidRDefault="00FF5222" w:rsidP="00321A39">
      <w:pPr>
        <w:tabs>
          <w:tab w:val="left" w:pos="6390"/>
        </w:tabs>
        <w:jc w:val="both"/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</w:pPr>
      <w:r w:rsidRPr="00321A39">
        <w:rPr>
          <w:rFonts w:asciiTheme="minorBidi" w:hAnsiTheme="minorBidi" w:cstheme="minorBidi"/>
          <w:bCs/>
          <w:iCs/>
          <w:sz w:val="22"/>
          <w:szCs w:val="22"/>
          <w:lang w:val="cs-CZ" w:eastAsia="cs-CZ"/>
        </w:rPr>
        <w:t xml:space="preserve">K zabránění vzniku rezistence neaplikujte tento přípravek nebo jiný, který obsahuje účinnou látku na bázi inhibitorů ALS na stejném pozemku po sobě bez přerušení ošetřením jiným herbicidem s odlišným mechanismem účinku. </w:t>
      </w:r>
    </w:p>
    <w:p w:rsidR="00A20A87" w:rsidRPr="00715566" w:rsidRDefault="00A20A87" w:rsidP="00E176A9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 w:eastAsia="en-GB"/>
        </w:rPr>
      </w:pPr>
    </w:p>
    <w:p w:rsidR="004918BE" w:rsidRPr="00FF0BB2" w:rsidRDefault="004918BE" w:rsidP="00971310">
      <w:pPr>
        <w:rPr>
          <w:rFonts w:asciiTheme="minorBidi" w:hAnsiTheme="minorBidi" w:cstheme="minorBidi"/>
          <w:i/>
          <w:sz w:val="22"/>
          <w:szCs w:val="22"/>
          <w:lang w:val="cs-CZ"/>
        </w:rPr>
      </w:pPr>
      <w:r w:rsidRPr="00FF0BB2">
        <w:rPr>
          <w:rFonts w:asciiTheme="minorBidi" w:hAnsiTheme="minorBidi" w:cstheme="minorBidi"/>
          <w:b/>
          <w:sz w:val="22"/>
          <w:szCs w:val="22"/>
          <w:lang w:val="cs-CZ"/>
        </w:rPr>
        <w:t>Ochranné vzdálenosti a jiná opatření a omezení s ohledem na ochranu zdraví lidí, necílových organismů a složek životního prostředí:</w:t>
      </w:r>
      <w:r w:rsidRPr="00FF0BB2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89"/>
        <w:gridCol w:w="1193"/>
        <w:gridCol w:w="1191"/>
        <w:gridCol w:w="1193"/>
      </w:tblGrid>
      <w:tr w:rsidR="00E53273" w:rsidRPr="00715566" w:rsidTr="007A16D4">
        <w:trPr>
          <w:trHeight w:val="220"/>
          <w:jc w:val="center"/>
        </w:trPr>
        <w:tc>
          <w:tcPr>
            <w:tcW w:w="2494" w:type="pct"/>
            <w:shd w:val="clear" w:color="auto" w:fill="FFFFFF"/>
            <w:vAlign w:val="center"/>
          </w:tcPr>
          <w:p w:rsidR="00E53273" w:rsidRPr="004918BE" w:rsidRDefault="00E53273" w:rsidP="004918BE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Plodina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53273" w:rsidRPr="004918BE" w:rsidRDefault="00E53273" w:rsidP="004918BE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bez redukce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53273" w:rsidRPr="004918BE" w:rsidRDefault="00E53273" w:rsidP="004918BE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tryska </w:t>
            </w:r>
          </w:p>
          <w:p w:rsidR="00E53273" w:rsidRPr="004918BE" w:rsidRDefault="00E53273" w:rsidP="004918BE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50 %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20A87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 xml:space="preserve">tryska </w:t>
            </w:r>
          </w:p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75 %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 xml:space="preserve">tryska </w:t>
            </w:r>
          </w:p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90 %</w:t>
            </w:r>
          </w:p>
        </w:tc>
      </w:tr>
      <w:tr w:rsidR="00E53273" w:rsidRPr="00715566" w:rsidTr="005861F8">
        <w:trPr>
          <w:trHeight w:val="316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53273" w:rsidRPr="004918BE" w:rsidRDefault="004A07FE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 xml:space="preserve">ochranná vzdálenost </w:t>
            </w:r>
            <w:r w:rsidR="00E53273"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 xml:space="preserve">od povrchové vody s ohledem na ochranu vodních organismů [m] </w:t>
            </w:r>
          </w:p>
        </w:tc>
      </w:tr>
      <w:tr w:rsidR="00E53273" w:rsidRPr="00715566" w:rsidTr="007A16D4">
        <w:trPr>
          <w:trHeight w:val="316"/>
          <w:jc w:val="center"/>
        </w:trPr>
        <w:tc>
          <w:tcPr>
            <w:tcW w:w="2494" w:type="pct"/>
            <w:shd w:val="clear" w:color="auto" w:fill="FFFFFF"/>
            <w:vAlign w:val="center"/>
          </w:tcPr>
          <w:p w:rsidR="00A20A87" w:rsidRPr="004918BE" w:rsidRDefault="00A20A87" w:rsidP="004918BE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pšenice ozimá, ječmen ozimý, žito ozimé, tritikale ozimé, pšenice jarní, ječmen jarní, žito jarní </w:t>
            </w:r>
          </w:p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</w:p>
        </w:tc>
        <w:tc>
          <w:tcPr>
            <w:tcW w:w="701" w:type="pct"/>
            <w:vAlign w:val="center"/>
          </w:tcPr>
          <w:p w:rsidR="00E53273" w:rsidRPr="004918BE" w:rsidRDefault="00A20A87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4</w:t>
            </w:r>
          </w:p>
        </w:tc>
        <w:tc>
          <w:tcPr>
            <w:tcW w:w="602" w:type="pct"/>
            <w:vAlign w:val="center"/>
          </w:tcPr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4</w:t>
            </w:r>
          </w:p>
        </w:tc>
        <w:tc>
          <w:tcPr>
            <w:tcW w:w="601" w:type="pct"/>
            <w:vAlign w:val="center"/>
          </w:tcPr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4</w:t>
            </w:r>
          </w:p>
        </w:tc>
        <w:tc>
          <w:tcPr>
            <w:tcW w:w="602" w:type="pct"/>
            <w:vAlign w:val="center"/>
          </w:tcPr>
          <w:p w:rsidR="00E53273" w:rsidRPr="004918BE" w:rsidRDefault="00E53273">
            <w:pPr>
              <w:keepNext/>
              <w:spacing w:line="240" w:lineRule="atLeast"/>
              <w:jc w:val="both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4</w:t>
            </w:r>
          </w:p>
        </w:tc>
      </w:tr>
      <w:tr w:rsidR="00E53273" w:rsidRPr="00715566" w:rsidTr="005861F8">
        <w:trPr>
          <w:trHeight w:val="316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53273" w:rsidRPr="004918BE" w:rsidRDefault="004A07FE" w:rsidP="004918BE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 xml:space="preserve">ochranná vzdálenost </w:t>
            </w:r>
            <w:r w:rsidR="00E53273"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od okraje ošetřovaného pozemku s ohledem na ochranu necílových rostlin [m]</w:t>
            </w:r>
            <w:bookmarkStart w:id="0" w:name="_GoBack"/>
            <w:bookmarkEnd w:id="0"/>
          </w:p>
        </w:tc>
      </w:tr>
      <w:tr w:rsidR="00E53273" w:rsidRPr="00715566" w:rsidTr="007A16D4">
        <w:trPr>
          <w:trHeight w:val="316"/>
          <w:jc w:val="center"/>
        </w:trPr>
        <w:tc>
          <w:tcPr>
            <w:tcW w:w="2494" w:type="pct"/>
            <w:shd w:val="clear" w:color="auto" w:fill="FFFFFF"/>
            <w:vAlign w:val="center"/>
          </w:tcPr>
          <w:p w:rsidR="00A20A87" w:rsidRPr="004918BE" w:rsidRDefault="00A20A87" w:rsidP="004918BE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lastRenderedPageBreak/>
              <w:t xml:space="preserve">pšenice ozimá, ječmen ozimý, žito ozimé, tritikale ozimé, pšenice jarní, ječmen jarní, žito jarní </w:t>
            </w:r>
          </w:p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</w:p>
        </w:tc>
        <w:tc>
          <w:tcPr>
            <w:tcW w:w="701" w:type="pct"/>
            <w:vAlign w:val="center"/>
          </w:tcPr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5</w:t>
            </w:r>
          </w:p>
        </w:tc>
        <w:tc>
          <w:tcPr>
            <w:tcW w:w="602" w:type="pct"/>
            <w:vAlign w:val="center"/>
          </w:tcPr>
          <w:p w:rsidR="00E53273" w:rsidRPr="004918BE" w:rsidRDefault="00A20A87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0</w:t>
            </w:r>
          </w:p>
        </w:tc>
        <w:tc>
          <w:tcPr>
            <w:tcW w:w="601" w:type="pct"/>
            <w:vAlign w:val="center"/>
          </w:tcPr>
          <w:p w:rsidR="00E53273" w:rsidRPr="004918BE" w:rsidRDefault="00E53273" w:rsidP="004918BE">
            <w:pPr>
              <w:keepNext/>
              <w:spacing w:line="240" w:lineRule="atLeast"/>
              <w:rPr>
                <w:rFonts w:asciiTheme="minorBidi" w:hAnsiTheme="minorBidi" w:cstheme="minorBidi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sz w:val="22"/>
                <w:szCs w:val="22"/>
                <w:lang w:val="cs-CZ"/>
              </w:rPr>
              <w:t>0</w:t>
            </w:r>
          </w:p>
        </w:tc>
        <w:tc>
          <w:tcPr>
            <w:tcW w:w="602" w:type="pct"/>
            <w:vAlign w:val="center"/>
          </w:tcPr>
          <w:p w:rsidR="00E53273" w:rsidRPr="004918BE" w:rsidRDefault="00E53273" w:rsidP="004918BE">
            <w:pPr>
              <w:pStyle w:val="Default"/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</w:pPr>
            <w:r w:rsidRPr="004918BE">
              <w:rPr>
                <w:rFonts w:asciiTheme="minorBidi" w:hAnsiTheme="minorBidi" w:cstheme="minorBidi"/>
                <w:color w:val="auto"/>
                <w:sz w:val="22"/>
                <w:szCs w:val="22"/>
                <w:lang w:val="cs-CZ"/>
              </w:rPr>
              <w:t>0</w:t>
            </w:r>
          </w:p>
        </w:tc>
      </w:tr>
    </w:tbl>
    <w:p w:rsidR="00726639" w:rsidRPr="00715566" w:rsidRDefault="00726639" w:rsidP="00E176A9">
      <w:pPr>
        <w:pStyle w:val="Default"/>
        <w:jc w:val="both"/>
        <w:rPr>
          <w:sz w:val="23"/>
          <w:szCs w:val="23"/>
          <w:lang w:val="cs-CZ"/>
        </w:rPr>
      </w:pPr>
    </w:p>
    <w:p w:rsidR="004918BE" w:rsidRPr="003D0255" w:rsidRDefault="004918BE" w:rsidP="004918BE">
      <w:pPr>
        <w:rPr>
          <w:rFonts w:asciiTheme="minorBidi" w:hAnsiTheme="minorBidi" w:cstheme="minorBidi"/>
          <w:i/>
          <w:sz w:val="22"/>
          <w:szCs w:val="22"/>
          <w:lang w:val="cs-CZ"/>
        </w:rPr>
      </w:pPr>
      <w:r w:rsidRPr="003D0255">
        <w:rPr>
          <w:rFonts w:asciiTheme="minorBidi" w:hAnsiTheme="minorBidi" w:cstheme="minorBidi"/>
          <w:b/>
          <w:sz w:val="22"/>
          <w:szCs w:val="22"/>
          <w:lang w:val="cs-CZ"/>
        </w:rPr>
        <w:t>Další omezení:</w:t>
      </w:r>
      <w:r w:rsidRPr="003D0255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</w:p>
    <w:p w:rsidR="00726639" w:rsidRPr="004918BE" w:rsidRDefault="00726639" w:rsidP="004918BE">
      <w:pPr>
        <w:jc w:val="both"/>
        <w:rPr>
          <w:rFonts w:asciiTheme="minorBidi" w:hAnsiTheme="minorBidi" w:cstheme="minorBidi"/>
          <w:bCs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sz w:val="22"/>
          <w:szCs w:val="22"/>
          <w:lang w:val="cs-CZ"/>
        </w:rPr>
        <w:t>Přípravu aplikační kapaliny (postřikové jíchy) provádějte ve venkovních prostorách s dostatečným přísunem čerstvého vzduchu. Postřik provádějte jen za bezvětří nebo mírného vánku, ve směru po větru a od dalších osob. Postřik nesmí zasáhnout sousední porosty. Vstup na ošetřený pozemek je možný minimálně druhý den po aplikaci. Při práci i po ní, až do odložení osobních ochranných pracovních prostředků a do důkladného umytí nejezte, nepijte a nekuřte. Po odložení osobních ochranných pracovních prostředků se osprchujte. Pokud není používán ochranný oděv pro jedno použití, pak ochranný oděv vyperte a OOPP očistěte. Kontaminovaný pracovní oděv neodnášejte z pracoviště. Při přípravě aplikační kapaliny ani při provádění postřiku nepoužívejte kontaktní čočky. Práce s přípravkem je zakázaná pro těhotné a kojící ženy a pro mladistvé.</w:t>
      </w:r>
    </w:p>
    <w:p w:rsidR="00726639" w:rsidRPr="004918BE" w:rsidRDefault="00726639" w:rsidP="004918BE">
      <w:pPr>
        <w:jc w:val="both"/>
        <w:rPr>
          <w:rFonts w:asciiTheme="minorBidi" w:hAnsiTheme="minorBidi" w:cstheme="minorBidi"/>
          <w:bCs/>
          <w:sz w:val="22"/>
          <w:szCs w:val="22"/>
          <w:lang w:val="cs-CZ"/>
        </w:rPr>
      </w:pPr>
    </w:p>
    <w:p w:rsidR="00726639" w:rsidRPr="004918BE" w:rsidRDefault="00726639" w:rsidP="004918BE">
      <w:pPr>
        <w:jc w:val="both"/>
        <w:rPr>
          <w:rFonts w:asciiTheme="minorBidi" w:hAnsiTheme="minorBidi" w:cstheme="minorBidi"/>
          <w:b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/>
          <w:sz w:val="22"/>
          <w:szCs w:val="22"/>
          <w:lang w:val="cs-CZ"/>
        </w:rPr>
        <w:t>Vzdálenost mezi hranicí ošetřené plochy nesmí být menší než 5 metrů od hranice oblasti využívané zranitelnými skupinami obyvatel.</w:t>
      </w:r>
    </w:p>
    <w:p w:rsidR="00726639" w:rsidRPr="00715566" w:rsidRDefault="00726639" w:rsidP="00726639">
      <w:pPr>
        <w:jc w:val="both"/>
        <w:rPr>
          <w:szCs w:val="24"/>
          <w:lang w:val="cs-CZ"/>
        </w:rPr>
      </w:pPr>
    </w:p>
    <w:p w:rsidR="004918BE" w:rsidRPr="00FF0BB2" w:rsidRDefault="004918BE" w:rsidP="004918BE">
      <w:pPr>
        <w:rPr>
          <w:rFonts w:asciiTheme="minorBidi" w:hAnsiTheme="minorBidi" w:cstheme="minorBidi"/>
          <w:i/>
          <w:sz w:val="22"/>
          <w:szCs w:val="22"/>
          <w:lang w:val="cs-CZ"/>
        </w:rPr>
      </w:pPr>
      <w:r w:rsidRPr="00FF0BB2">
        <w:rPr>
          <w:rFonts w:asciiTheme="minorBidi" w:hAnsiTheme="minorBidi" w:cstheme="minorBidi"/>
          <w:b/>
          <w:sz w:val="22"/>
          <w:szCs w:val="22"/>
          <w:lang w:val="cs-CZ"/>
        </w:rPr>
        <w:t>Příprava aplikační kapaliny:</w:t>
      </w:r>
      <w:r w:rsidRPr="00FF0BB2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</w:p>
    <w:p w:rsidR="00726639" w:rsidRPr="004918BE" w:rsidRDefault="00726639" w:rsidP="004918BE">
      <w:pPr>
        <w:jc w:val="both"/>
        <w:rPr>
          <w:rFonts w:asciiTheme="minorBidi" w:hAnsiTheme="minorBidi" w:cstheme="minorBidi"/>
          <w:bCs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sz w:val="22"/>
          <w:szCs w:val="22"/>
          <w:lang w:val="cs-CZ"/>
        </w:rPr>
        <w:t>Odměřené množství přípravku se vleje do nádrže postřikovače naplněné do poloviny vodou. Po promíchání se nádrž doplní vodou, případně se před doplněním přidají odměřená množství dalších přípravků a obsah nádrže se před doplněním opětovně promíchá, nebo se použije předmíchávacího zařízení, je-li jím postřikovač vybaven. Při přípravě směsí je zakázáno míchat koncentráty, přípravky se do nádrže vpravují odděleně.</w:t>
      </w:r>
    </w:p>
    <w:p w:rsidR="00726639" w:rsidRPr="00715566" w:rsidRDefault="00726639" w:rsidP="00726639">
      <w:pPr>
        <w:pStyle w:val="BodyText2"/>
        <w:tabs>
          <w:tab w:val="left" w:pos="6390"/>
        </w:tabs>
        <w:rPr>
          <w:szCs w:val="24"/>
          <w:lang w:val="cs-CZ"/>
        </w:rPr>
      </w:pPr>
    </w:p>
    <w:p w:rsidR="004918BE" w:rsidRPr="00FF0BB2" w:rsidRDefault="004918BE" w:rsidP="004918BE">
      <w:pPr>
        <w:rPr>
          <w:rFonts w:asciiTheme="minorBidi" w:hAnsiTheme="minorBidi" w:cstheme="minorBidi"/>
          <w:b/>
          <w:sz w:val="22"/>
          <w:szCs w:val="22"/>
          <w:lang w:val="cs-CZ"/>
        </w:rPr>
      </w:pPr>
      <w:r w:rsidRPr="00FF0BB2">
        <w:rPr>
          <w:rFonts w:asciiTheme="minorBidi" w:hAnsiTheme="minorBidi" w:cstheme="minorBidi"/>
          <w:b/>
          <w:sz w:val="22"/>
          <w:szCs w:val="22"/>
          <w:lang w:val="cs-CZ"/>
        </w:rPr>
        <w:t xml:space="preserve">Čištění zařízení pro aplikaci přípravků: </w:t>
      </w:r>
    </w:p>
    <w:p w:rsidR="00726639" w:rsidRPr="004918BE" w:rsidRDefault="00726639" w:rsidP="00726639">
      <w:pPr>
        <w:pStyle w:val="Default"/>
        <w:jc w:val="both"/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  <w:t xml:space="preserve">Aby nedošlo později k poškození jiných plodin ošetřovaných postřikovačem, ve kterém byl přípravek na bázi florasulamu a halauxifenu, musí být veškeré jeho stopy z mísících nádrží a postřikovače odstraněny ihned po skončení postřiku podle následujícího postupu: </w:t>
      </w:r>
    </w:p>
    <w:p w:rsidR="00726639" w:rsidRPr="004918BE" w:rsidRDefault="00726639" w:rsidP="00726639">
      <w:pPr>
        <w:pStyle w:val="Default"/>
        <w:jc w:val="both"/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  <w:t xml:space="preserve">1) Po vypuštění nádrže důkladně vypláchněte vnitřek nádrže čistou vodou (min. 10% objemu nádrže), propláchněte ramena a hadice a nádrž vyprázdněte. </w:t>
      </w:r>
    </w:p>
    <w:p w:rsidR="00726639" w:rsidRPr="004918BE" w:rsidRDefault="00726639" w:rsidP="00726639">
      <w:pPr>
        <w:pStyle w:val="Default"/>
        <w:jc w:val="both"/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  <w:t xml:space="preserve">2) Naplňte nádrž čistou vodou (min. 10% objemu nádrže) přidejte čisticí prostředek a spusťte míchací zařízení na 15 minut. Propláchněte ramena a hadice a nádrž vyprázdněte. V případě použití čisticích prostředků postupujte dle návodu na jejich použití. </w:t>
      </w:r>
    </w:p>
    <w:p w:rsidR="00726639" w:rsidRPr="004918BE" w:rsidRDefault="00726639" w:rsidP="00726639">
      <w:pPr>
        <w:pStyle w:val="Default"/>
        <w:jc w:val="both"/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  <w:t xml:space="preserve">4) Trysky a sítka musí být odmontovány a čištěny odděleně v roztoku čisticího prostředku. </w:t>
      </w:r>
    </w:p>
    <w:p w:rsidR="00726639" w:rsidRPr="004918BE" w:rsidRDefault="00726639" w:rsidP="00726639">
      <w:pPr>
        <w:pStyle w:val="Default"/>
        <w:jc w:val="both"/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  <w:t xml:space="preserve">3) Vypláchněte vnitřek nádrže čistou vodou (min. 10% objemu nádrže) a propláchněte ramena a hadice. Nádrž vyprázdněte. </w:t>
      </w:r>
    </w:p>
    <w:p w:rsidR="00726639" w:rsidRPr="004918BE" w:rsidRDefault="00726639" w:rsidP="00726639">
      <w:pPr>
        <w:pStyle w:val="Default"/>
        <w:jc w:val="both"/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color w:val="auto"/>
          <w:sz w:val="22"/>
          <w:szCs w:val="22"/>
          <w:lang w:val="cs-CZ"/>
        </w:rPr>
        <w:t xml:space="preserve">Poznámka: Jestliže není možné nádrž zcela vyprázdnit, krok 3 musí být zopakován. </w:t>
      </w:r>
    </w:p>
    <w:p w:rsidR="00726639" w:rsidRPr="004918BE" w:rsidRDefault="00726639" w:rsidP="00726639">
      <w:pPr>
        <w:tabs>
          <w:tab w:val="left" w:pos="6390"/>
        </w:tabs>
        <w:jc w:val="both"/>
        <w:rPr>
          <w:rFonts w:asciiTheme="minorBidi" w:hAnsiTheme="minorBidi" w:cstheme="minorBidi"/>
          <w:bCs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Cs/>
          <w:sz w:val="22"/>
          <w:szCs w:val="22"/>
          <w:lang w:val="cs-CZ"/>
        </w:rPr>
        <w:t xml:space="preserve">Nedostatečné vypláchnutí aplikačního zařízení může způsobit poškození následně ošetřovaných plodin. </w:t>
      </w:r>
    </w:p>
    <w:p w:rsidR="00FB5511" w:rsidRPr="00715566" w:rsidRDefault="00FB5511" w:rsidP="00726639">
      <w:pPr>
        <w:jc w:val="both"/>
        <w:rPr>
          <w:szCs w:val="24"/>
          <w:lang w:val="cs-CZ"/>
        </w:rPr>
      </w:pPr>
    </w:p>
    <w:p w:rsidR="004918BE" w:rsidRDefault="004918BE" w:rsidP="004918BE">
      <w:pPr>
        <w:tabs>
          <w:tab w:val="left" w:pos="-3828"/>
        </w:tabs>
        <w:ind w:left="2835" w:hanging="2835"/>
        <w:jc w:val="both"/>
        <w:rPr>
          <w:rFonts w:asciiTheme="minorBidi" w:hAnsiTheme="minorBidi" w:cstheme="minorBidi"/>
          <w:sz w:val="22"/>
          <w:szCs w:val="22"/>
          <w:lang w:val="cs-CZ"/>
        </w:rPr>
      </w:pPr>
      <w:r w:rsidRPr="00FF0BB2">
        <w:rPr>
          <w:rFonts w:asciiTheme="minorBidi" w:hAnsiTheme="minorBidi" w:cstheme="minorBidi"/>
          <w:b/>
          <w:sz w:val="22"/>
          <w:szCs w:val="22"/>
          <w:lang w:val="cs-CZ"/>
        </w:rPr>
        <w:t>Osobní ochranné pracovní prostředky</w:t>
      </w:r>
      <w:r>
        <w:rPr>
          <w:rFonts w:asciiTheme="minorBidi" w:hAnsiTheme="minorBidi" w:cstheme="minorBidi"/>
          <w:b/>
          <w:sz w:val="22"/>
          <w:szCs w:val="22"/>
          <w:lang w:val="cs-CZ"/>
        </w:rPr>
        <w:t xml:space="preserve"> </w:t>
      </w:r>
      <w:r w:rsidRPr="00FF0BB2">
        <w:rPr>
          <w:rFonts w:asciiTheme="minorBidi" w:hAnsiTheme="minorBidi" w:cstheme="minorBidi"/>
          <w:b/>
          <w:sz w:val="22"/>
          <w:szCs w:val="22"/>
          <w:lang w:val="cs-CZ"/>
        </w:rPr>
        <w:t>při přípravě a aplikaci na venkovních plochách: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890218" w:rsidRPr="007B2A26" w:rsidTr="00B14810">
        <w:tc>
          <w:tcPr>
            <w:tcW w:w="2972" w:type="dxa"/>
          </w:tcPr>
          <w:p w:rsidR="00890218" w:rsidRPr="004918BE" w:rsidRDefault="00890218" w:rsidP="004918BE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Ochrana dýchacích orgánů:</w:t>
            </w:r>
          </w:p>
        </w:tc>
        <w:tc>
          <w:tcPr>
            <w:tcW w:w="7088" w:type="dxa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 xml:space="preserve">není nutná </w:t>
            </w:r>
          </w:p>
        </w:tc>
      </w:tr>
      <w:tr w:rsidR="00890218" w:rsidRPr="00A6400C" w:rsidTr="00B14810">
        <w:tc>
          <w:tcPr>
            <w:tcW w:w="2972" w:type="dxa"/>
          </w:tcPr>
          <w:p w:rsidR="00890218" w:rsidRPr="004918BE" w:rsidRDefault="00890218" w:rsidP="004918BE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Ochrana rukou:</w:t>
            </w:r>
          </w:p>
        </w:tc>
        <w:tc>
          <w:tcPr>
            <w:tcW w:w="7088" w:type="dxa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gumové nebo plastové rukavice označené piktogramem pro chemická nebezpečí podle ČSN EN 420+A1 s uvedeným kódem podle ČSN EN ISO 374-1</w:t>
            </w:r>
          </w:p>
        </w:tc>
      </w:tr>
      <w:tr w:rsidR="00890218" w:rsidRPr="00A6400C" w:rsidTr="00B14810">
        <w:tc>
          <w:tcPr>
            <w:tcW w:w="2972" w:type="dxa"/>
          </w:tcPr>
          <w:p w:rsidR="00890218" w:rsidRPr="004918BE" w:rsidRDefault="00890218" w:rsidP="004918BE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Ochrana očí a obličeje:</w:t>
            </w:r>
          </w:p>
        </w:tc>
        <w:tc>
          <w:tcPr>
            <w:tcW w:w="7088" w:type="dxa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ochranné brýle nebo ochranný štít podle ČSN EN 166</w:t>
            </w:r>
          </w:p>
        </w:tc>
      </w:tr>
      <w:tr w:rsidR="00890218" w:rsidRPr="00A6400C" w:rsidTr="00B14810">
        <w:tc>
          <w:tcPr>
            <w:tcW w:w="2972" w:type="dxa"/>
          </w:tcPr>
          <w:p w:rsidR="00890218" w:rsidRPr="004918BE" w:rsidRDefault="00890218" w:rsidP="004918BE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Ochrana těla:</w:t>
            </w:r>
          </w:p>
        </w:tc>
        <w:tc>
          <w:tcPr>
            <w:tcW w:w="7088" w:type="dxa"/>
          </w:tcPr>
          <w:p w:rsidR="00890218" w:rsidRPr="004918BE" w:rsidRDefault="00890218" w:rsidP="005D71EC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 xml:space="preserve">celkový ochranný oděv např. podle ČSN EN 14605+A1 nebo podle ČSN EN 13034+A1, nebo jiný ochranný oděv označený grafickou značkou „ochrana proti chemikáliím“ podle ČSN EN ISO 13688. </w:t>
            </w:r>
          </w:p>
        </w:tc>
      </w:tr>
      <w:tr w:rsidR="00890218" w:rsidRPr="00BB0A1D" w:rsidTr="00B14810">
        <w:tc>
          <w:tcPr>
            <w:tcW w:w="2972" w:type="dxa"/>
          </w:tcPr>
          <w:p w:rsidR="00890218" w:rsidRPr="004918BE" w:rsidRDefault="00890218" w:rsidP="004918BE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Dodatečná ochrana hlavy:</w:t>
            </w:r>
          </w:p>
        </w:tc>
        <w:tc>
          <w:tcPr>
            <w:tcW w:w="7088" w:type="dxa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 xml:space="preserve">není nutná </w:t>
            </w:r>
          </w:p>
        </w:tc>
      </w:tr>
      <w:tr w:rsidR="00890218" w:rsidRPr="00A6400C" w:rsidTr="00B14810">
        <w:tc>
          <w:tcPr>
            <w:tcW w:w="2972" w:type="dxa"/>
          </w:tcPr>
          <w:p w:rsidR="00890218" w:rsidRPr="004918BE" w:rsidRDefault="00890218" w:rsidP="004918BE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lastRenderedPageBreak/>
              <w:t>Dodatečná ochrana nohou:</w:t>
            </w:r>
          </w:p>
        </w:tc>
        <w:tc>
          <w:tcPr>
            <w:tcW w:w="7088" w:type="dxa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pracovní nebo ochranná obuv (např. gumové nebo plastové holínky) podle ČSN EN ISO 20346 nebo ČSN EN ISO 20347 (s ohledem na práci v zemědělském terénu)</w:t>
            </w:r>
          </w:p>
        </w:tc>
      </w:tr>
      <w:tr w:rsidR="00890218" w:rsidRPr="00A6400C" w:rsidTr="00B14810">
        <w:tc>
          <w:tcPr>
            <w:tcW w:w="2972" w:type="dxa"/>
          </w:tcPr>
          <w:p w:rsidR="00890218" w:rsidRPr="004918BE" w:rsidRDefault="00890218" w:rsidP="004918BE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Společný údaj k OOPP:</w:t>
            </w:r>
          </w:p>
        </w:tc>
        <w:tc>
          <w:tcPr>
            <w:tcW w:w="7088" w:type="dxa"/>
          </w:tcPr>
          <w:p w:rsidR="00890218" w:rsidRPr="004918BE" w:rsidRDefault="00890218" w:rsidP="004918BE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poškozené OOPP (např. protržené rukavice) je třeba urychleně vyměnit.</w:t>
            </w:r>
          </w:p>
          <w:p w:rsidR="00890218" w:rsidRPr="004918BE" w:rsidRDefault="00890218" w:rsidP="004918BE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Je-li pracovník při vlastní aplikaci dostatečně chráněn v uzavřené kabině řidiče, OOPP nejsou nutné. Musí však mít přichystané alespoň rezervní rukavice a brýle pro případ poruchy zařízení.</w:t>
            </w:r>
          </w:p>
        </w:tc>
      </w:tr>
    </w:tbl>
    <w:p w:rsidR="0067686E" w:rsidRPr="00715566" w:rsidRDefault="0067686E" w:rsidP="00726639">
      <w:pPr>
        <w:spacing w:before="120"/>
        <w:jc w:val="both"/>
        <w:rPr>
          <w:rFonts w:asciiTheme="majorBidi" w:hAnsiTheme="majorBidi" w:cstheme="majorBidi"/>
          <w:color w:val="000000"/>
          <w:szCs w:val="24"/>
          <w:highlight w:val="yellow"/>
          <w:lang w:val="cs-CZ"/>
        </w:rPr>
      </w:pPr>
    </w:p>
    <w:p w:rsidR="004918BE" w:rsidRDefault="004918BE" w:rsidP="004918BE">
      <w:pPr>
        <w:rPr>
          <w:rFonts w:asciiTheme="minorBidi" w:hAnsiTheme="minorBidi" w:cstheme="minorBidi"/>
          <w:sz w:val="22"/>
          <w:szCs w:val="22"/>
          <w:lang w:val="cs-CZ"/>
        </w:rPr>
      </w:pPr>
      <w:r w:rsidRPr="003D0255">
        <w:rPr>
          <w:rFonts w:asciiTheme="minorBidi" w:hAnsiTheme="minorBidi" w:cstheme="minorBidi"/>
          <w:b/>
          <w:sz w:val="22"/>
          <w:szCs w:val="22"/>
          <w:lang w:val="cs-CZ"/>
        </w:rPr>
        <w:t>Informace o první pomoci: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55"/>
      </w:tblGrid>
      <w:tr w:rsidR="00890218" w:rsidRPr="00A6400C" w:rsidTr="00B14810">
        <w:tc>
          <w:tcPr>
            <w:tcW w:w="10060" w:type="dxa"/>
            <w:gridSpan w:val="2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szCs w:val="22"/>
                <w:lang w:val="cs-CZ" w:eastAsia="cs-CZ"/>
              </w:rPr>
              <w:t>Všeobecné pokyny</w:t>
            </w: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: Projeví-li se zdravotní potíže (vždy při zasažení očí neředěným přípravkem, alergické kožní reakci nebo dýchacích potížích) nebo v případě pochybností kontaktujte lékaře.</w:t>
            </w:r>
          </w:p>
        </w:tc>
      </w:tr>
      <w:tr w:rsidR="00890218" w:rsidRPr="00A6400C" w:rsidTr="00B14810">
        <w:tc>
          <w:tcPr>
            <w:tcW w:w="2405" w:type="dxa"/>
          </w:tcPr>
          <w:p w:rsidR="00890218" w:rsidRPr="004918BE" w:rsidRDefault="00890218" w:rsidP="00B1481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Při nadýchání:</w:t>
            </w:r>
          </w:p>
        </w:tc>
        <w:tc>
          <w:tcPr>
            <w:tcW w:w="7655" w:type="dxa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Přerušte práci. Přejděte mimo ošetřovanou oblast.</w:t>
            </w:r>
          </w:p>
        </w:tc>
      </w:tr>
      <w:tr w:rsidR="00890218" w:rsidRPr="007B2A26" w:rsidTr="00B14810">
        <w:tc>
          <w:tcPr>
            <w:tcW w:w="2405" w:type="dxa"/>
          </w:tcPr>
          <w:p w:rsidR="00890218" w:rsidRPr="004918BE" w:rsidRDefault="00890218" w:rsidP="00B1481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Při zasažení kůže:</w:t>
            </w:r>
          </w:p>
        </w:tc>
        <w:tc>
          <w:tcPr>
            <w:tcW w:w="7655" w:type="dxa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Odložte kontaminovaný / nasáklý oděv. Zasažené části pokožky umyjte pokud možno teplou vodou a mýdlem, pokožku následně dobře opláchněte. Při větší kontaminaci kůže se osprchujte.</w:t>
            </w:r>
          </w:p>
        </w:tc>
      </w:tr>
      <w:tr w:rsidR="00890218" w:rsidRPr="007B2A26" w:rsidTr="00B14810">
        <w:tc>
          <w:tcPr>
            <w:tcW w:w="2405" w:type="dxa"/>
          </w:tcPr>
          <w:p w:rsidR="00890218" w:rsidRPr="004918BE" w:rsidRDefault="00890218" w:rsidP="00B1481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Při zasažení očí:</w:t>
            </w:r>
          </w:p>
        </w:tc>
        <w:tc>
          <w:tcPr>
            <w:tcW w:w="7655" w:type="dxa"/>
          </w:tcPr>
          <w:p w:rsidR="00890218" w:rsidRPr="004918BE" w:rsidRDefault="00890218" w:rsidP="00B14810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Vyplachujte oči alespoň 10 minut velkým množstvím vlahé čisté vody a současně odstraňte kontaktní čočky, jsou-li nasazeny, a pokud je lze snadno vyjmout. Kontaktní čočky nelze znova použít, je třeba je zlikvidovat.</w:t>
            </w:r>
          </w:p>
        </w:tc>
      </w:tr>
      <w:tr w:rsidR="00890218" w:rsidRPr="007B2A26" w:rsidTr="00B14810">
        <w:tc>
          <w:tcPr>
            <w:tcW w:w="2405" w:type="dxa"/>
          </w:tcPr>
          <w:p w:rsidR="00890218" w:rsidRPr="004918BE" w:rsidRDefault="00890218" w:rsidP="00B1481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b/>
                <w:bCs/>
                <w:color w:val="auto"/>
                <w:lang w:val="cs-CZ" w:eastAsia="cs-CZ"/>
              </w:rPr>
              <w:t>Při náhodném požití:</w:t>
            </w:r>
          </w:p>
        </w:tc>
        <w:tc>
          <w:tcPr>
            <w:tcW w:w="7655" w:type="dxa"/>
          </w:tcPr>
          <w:p w:rsidR="00890218" w:rsidRPr="004918BE" w:rsidRDefault="00890218" w:rsidP="004918BE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</w:pPr>
            <w:r w:rsidRPr="004918BE">
              <w:rPr>
                <w:rFonts w:asciiTheme="minorBidi" w:hAnsiTheme="minorBidi" w:cstheme="minorBidi"/>
                <w:color w:val="auto"/>
                <w:szCs w:val="22"/>
                <w:lang w:val="cs-CZ" w:eastAsia="cs-CZ"/>
              </w:rPr>
              <w:t>Vypláchněte ústa vodou, případně dejte vypít asi sklenici (1/4 litru) vody. Nevyvolávejte zvracení.</w:t>
            </w:r>
          </w:p>
        </w:tc>
      </w:tr>
    </w:tbl>
    <w:p w:rsidR="00726639" w:rsidRPr="004918BE" w:rsidRDefault="00726639" w:rsidP="004918BE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4918BE">
        <w:rPr>
          <w:rFonts w:asciiTheme="minorBidi" w:hAnsiTheme="minorBidi" w:cstheme="minorBidi"/>
          <w:sz w:val="22"/>
          <w:szCs w:val="22"/>
          <w:lang w:val="cs-CZ" w:eastAsia="cs-CZ"/>
        </w:rPr>
        <w:t xml:space="preserve"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224 915 402. </w:t>
      </w:r>
    </w:p>
    <w:p w:rsidR="00211D9B" w:rsidRPr="00715566" w:rsidRDefault="00211D9B" w:rsidP="00726639">
      <w:pPr>
        <w:jc w:val="both"/>
        <w:rPr>
          <w:rFonts w:asciiTheme="majorBidi" w:hAnsiTheme="majorBidi" w:cstheme="majorBidi"/>
          <w:color w:val="000000"/>
          <w:szCs w:val="24"/>
          <w:lang w:val="cs-CZ"/>
        </w:rPr>
      </w:pPr>
    </w:p>
    <w:p w:rsidR="00FB5511" w:rsidRPr="004918BE" w:rsidRDefault="00FB5511" w:rsidP="004918BE">
      <w:pPr>
        <w:rPr>
          <w:rFonts w:asciiTheme="minorBidi" w:hAnsiTheme="minorBidi" w:cstheme="minorBidi"/>
          <w:b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/>
          <w:sz w:val="22"/>
          <w:szCs w:val="22"/>
          <w:lang w:val="cs-CZ"/>
        </w:rPr>
        <w:t>Skladování:</w:t>
      </w:r>
    </w:p>
    <w:p w:rsidR="00FB5511" w:rsidRPr="004918BE" w:rsidRDefault="00FB5511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  <w:r w:rsidRPr="004918BE">
        <w:rPr>
          <w:rFonts w:asciiTheme="minorBidi" w:hAnsiTheme="minorBidi" w:cstheme="minorBidi"/>
          <w:sz w:val="22"/>
          <w:szCs w:val="22"/>
          <w:lang w:val="cs-CZ" w:eastAsia="cs-CZ"/>
        </w:rPr>
        <w:t>Přípravek skladujte v uzavřených originálních obalech, v suchých, chladných, uzamykatelných a dobře větraných skladech odděleně od potravin, nápojů, krmiv, hnojiv, farmaceutických výrobků, kosmetických výrobků, desinfekčních prostředků a prázdných obalů od těchto látek při teplotách + 5 až + 30 °C. Chránit před nadměrným teplem či chladem. Skladujte mimo dosah dětí.</w:t>
      </w:r>
    </w:p>
    <w:p w:rsidR="005D377B" w:rsidRPr="004918BE" w:rsidRDefault="005D377B">
      <w:pPr>
        <w:jc w:val="both"/>
        <w:rPr>
          <w:rFonts w:asciiTheme="minorBidi" w:hAnsiTheme="minorBidi" w:cstheme="minorBidi"/>
          <w:sz w:val="22"/>
          <w:szCs w:val="22"/>
          <w:lang w:val="cs-CZ" w:eastAsia="cs-CZ"/>
        </w:rPr>
      </w:pPr>
    </w:p>
    <w:p w:rsidR="00FB5511" w:rsidRPr="004918BE" w:rsidRDefault="00FB5511" w:rsidP="004918BE">
      <w:pPr>
        <w:rPr>
          <w:rFonts w:asciiTheme="minorBidi" w:hAnsiTheme="minorBidi" w:cstheme="minorBidi"/>
          <w:b/>
          <w:sz w:val="22"/>
          <w:szCs w:val="22"/>
          <w:lang w:val="cs-CZ"/>
        </w:rPr>
      </w:pPr>
      <w:r w:rsidRPr="004918BE">
        <w:rPr>
          <w:rFonts w:asciiTheme="minorBidi" w:hAnsiTheme="minorBidi" w:cstheme="minorBidi"/>
          <w:b/>
          <w:sz w:val="22"/>
          <w:szCs w:val="22"/>
          <w:lang w:val="cs-CZ"/>
        </w:rPr>
        <w:t>Likvidace obalů a zbytků:</w:t>
      </w:r>
    </w:p>
    <w:p w:rsidR="00FB5511" w:rsidRPr="00321A39" w:rsidRDefault="00FB5511" w:rsidP="004918BE">
      <w:pPr>
        <w:jc w:val="both"/>
        <w:rPr>
          <w:rFonts w:asciiTheme="minorBidi" w:hAnsiTheme="minorBidi" w:cstheme="minorBidi"/>
          <w:sz w:val="22"/>
          <w:szCs w:val="22"/>
          <w:lang w:val="cs-CZ"/>
        </w:rPr>
      </w:pPr>
      <w:r w:rsidRPr="00321A39">
        <w:rPr>
          <w:rFonts w:asciiTheme="minorBidi" w:hAnsiTheme="minorBidi" w:cstheme="minorBidi"/>
          <w:sz w:val="22"/>
          <w:szCs w:val="22"/>
          <w:lang w:val="cs-CZ"/>
        </w:rPr>
        <w:t xml:space="preserve">Likvidace přípravku se provádí podle oficiálních nařízení pro zavážku, spálení nebo recyklaci jako nebezpečný odpad. Při likvidaci zbytků nebo obalů nesmí být zasaženy recipienty spodních a povrchových vod. Obaly se spálí ve schválené spalovně vybavené dvoustupňovým spalováním s teplotou 1200 </w:t>
      </w:r>
      <w:r w:rsidR="004A07FE" w:rsidRPr="00321A39">
        <w:rPr>
          <w:rFonts w:asciiTheme="minorBidi" w:hAnsiTheme="minorBidi" w:cstheme="minorBidi"/>
          <w:sz w:val="22"/>
          <w:szCs w:val="22"/>
          <w:lang w:val="cs-CZ"/>
        </w:rPr>
        <w:t>–</w:t>
      </w:r>
      <w:r w:rsidRPr="00321A39">
        <w:rPr>
          <w:rFonts w:asciiTheme="minorBidi" w:hAnsiTheme="minorBidi" w:cstheme="minorBidi"/>
          <w:sz w:val="22"/>
          <w:szCs w:val="22"/>
          <w:lang w:val="cs-CZ"/>
        </w:rPr>
        <w:t xml:space="preserve"> 1400</w:t>
      </w:r>
      <w:r w:rsidR="004A07FE" w:rsidRPr="00321A39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Pr="00321A39">
        <w:rPr>
          <w:rFonts w:asciiTheme="minorBidi" w:hAnsiTheme="minorBidi" w:cstheme="minorBidi"/>
          <w:sz w:val="22"/>
          <w:szCs w:val="22"/>
          <w:lang w:val="cs-CZ"/>
        </w:rPr>
        <w:t>°C a čištěním plynných zplodin nebo se znehodnotí a předají se prostřednictvím sběrného místa pro zvláštní a nebezpečné odpady do sběru k recyklaci nebo spálení ve schválené spalovně. Případné zbytky oplachové kapaliny nebo postřikové jíchy se na ředí 1:5 vodou a bezezbytku se vystříkají na ošetřovaném pozemku, nesmí však zasáhnout zdroje podzemních vod ani recipienty povrchových vod.</w:t>
      </w:r>
    </w:p>
    <w:p w:rsidR="00FB5511" w:rsidRPr="00321A39" w:rsidRDefault="00FB5511">
      <w:pPr>
        <w:tabs>
          <w:tab w:val="left" w:pos="6390"/>
        </w:tabs>
        <w:jc w:val="both"/>
        <w:rPr>
          <w:rFonts w:asciiTheme="minorBidi" w:hAnsiTheme="minorBidi" w:cstheme="minorBidi"/>
          <w:sz w:val="22"/>
          <w:szCs w:val="22"/>
          <w:lang w:val="cs-CZ"/>
        </w:rPr>
      </w:pPr>
    </w:p>
    <w:p w:rsidR="00321A39" w:rsidRPr="003D0255" w:rsidRDefault="00321A39" w:rsidP="00321A39">
      <w:pPr>
        <w:rPr>
          <w:rFonts w:asciiTheme="minorBidi" w:hAnsiTheme="minorBidi" w:cstheme="minorBidi"/>
          <w:sz w:val="22"/>
          <w:szCs w:val="22"/>
          <w:lang w:val="cs-CZ"/>
        </w:rPr>
      </w:pPr>
      <w:r w:rsidRPr="003D0255">
        <w:rPr>
          <w:rFonts w:asciiTheme="minorBidi" w:hAnsiTheme="minorBidi" w:cstheme="minorBidi"/>
          <w:b/>
          <w:sz w:val="22"/>
          <w:szCs w:val="22"/>
          <w:lang w:val="cs-CZ"/>
        </w:rPr>
        <w:t>Další údaje a upřesnění</w:t>
      </w:r>
      <w:r w:rsidRPr="003D0255">
        <w:rPr>
          <w:rFonts w:asciiTheme="minorBidi" w:hAnsiTheme="minorBidi" w:cstheme="minorBidi"/>
          <w:sz w:val="22"/>
          <w:szCs w:val="22"/>
          <w:lang w:val="cs-CZ"/>
        </w:rPr>
        <w:t xml:space="preserve">: </w:t>
      </w:r>
    </w:p>
    <w:p w:rsidR="00321A39" w:rsidRPr="00321A39" w:rsidRDefault="00321A39" w:rsidP="00321A39">
      <w:pPr>
        <w:ind w:right="28"/>
        <w:jc w:val="both"/>
        <w:rPr>
          <w:rFonts w:asciiTheme="minorBidi" w:hAnsiTheme="minorBidi" w:cstheme="minorBidi"/>
          <w:sz w:val="22"/>
          <w:szCs w:val="22"/>
          <w:lang w:val="cs-CZ"/>
        </w:rPr>
      </w:pPr>
      <w:r w:rsidRPr="00321A39">
        <w:rPr>
          <w:rFonts w:asciiTheme="minorBidi" w:hAnsiTheme="minorBidi" w:cstheme="minorBidi"/>
          <w:sz w:val="22"/>
          <w:szCs w:val="22"/>
          <w:lang w:val="cs-CZ"/>
        </w:rPr>
        <w:t>Přípravek, u něhož prošla doba použitelnosti, lze uvádět na trh po dobu 1 roku, jestliže se prokáže na základě analýzy odpovídajícího vzorku, že se jeho chemické a fyzikální vlastnosti shodují s vlastnostmi, na jejichž základě bylo uděleno povolení.</w:t>
      </w:r>
      <w:r w:rsidR="00775BA7">
        <w:rPr>
          <w:rFonts w:asciiTheme="minorBidi" w:hAnsiTheme="minorBidi" w:cstheme="minorBidi"/>
          <w:sz w:val="22"/>
          <w:szCs w:val="22"/>
          <w:lang w:val="cs-CZ"/>
        </w:rPr>
        <w:t xml:space="preserve"> </w:t>
      </w:r>
      <w:r w:rsidR="00775BA7" w:rsidRPr="00AE0747">
        <w:rPr>
          <w:rFonts w:asciiTheme="minorBidi" w:hAnsiTheme="minorBidi" w:cstheme="minorBidi"/>
          <w:sz w:val="22"/>
          <w:szCs w:val="22"/>
          <w:lang w:val="cs-CZ"/>
        </w:rPr>
        <w:t>Laboratorní rozbory pro tento účel zajistí vlastník přípravku u akreditované laboratoře a prodlouženou dobu použitelnosti je povinen vyznačit na obalu přípravku.</w:t>
      </w:r>
    </w:p>
    <w:p w:rsidR="00FB5511" w:rsidRPr="00321A39" w:rsidRDefault="00FB5511">
      <w:pPr>
        <w:jc w:val="both"/>
        <w:rPr>
          <w:rFonts w:asciiTheme="minorBidi" w:hAnsiTheme="minorBidi" w:cstheme="minorBidi"/>
          <w:sz w:val="22"/>
          <w:szCs w:val="22"/>
          <w:lang w:val="cs-CZ"/>
        </w:rPr>
      </w:pPr>
      <w:r w:rsidRPr="00321A39">
        <w:rPr>
          <w:rFonts w:asciiTheme="minorBidi" w:hAnsiTheme="minorBidi" w:cstheme="minorBidi"/>
          <w:sz w:val="22"/>
          <w:szCs w:val="22"/>
          <w:lang w:val="cs-CZ"/>
        </w:rPr>
        <w:t>Za škody vzniklé nevhodným skladováním anebo nevhodným použitím přípravku výrobce neručí.</w:t>
      </w:r>
    </w:p>
    <w:p w:rsidR="00FB5511" w:rsidRPr="00321A39" w:rsidRDefault="00FB5511">
      <w:pPr>
        <w:tabs>
          <w:tab w:val="left" w:pos="6390"/>
        </w:tabs>
        <w:jc w:val="both"/>
        <w:rPr>
          <w:rFonts w:asciiTheme="minorBidi" w:hAnsiTheme="minorBidi" w:cstheme="minorBidi"/>
          <w:sz w:val="22"/>
          <w:szCs w:val="22"/>
          <w:lang w:val="cs-CZ"/>
        </w:rPr>
      </w:pPr>
    </w:p>
    <w:p w:rsidR="00E65D1A" w:rsidRPr="00321A39" w:rsidRDefault="001D14E4" w:rsidP="001D40D8">
      <w:pPr>
        <w:jc w:val="right"/>
        <w:rPr>
          <w:rFonts w:asciiTheme="minorBidi" w:hAnsiTheme="minorBidi" w:cstheme="minorBidi"/>
          <w:i/>
          <w:iCs/>
          <w:sz w:val="22"/>
          <w:szCs w:val="22"/>
          <w:lang w:val="cs-CZ"/>
        </w:rPr>
      </w:pPr>
      <w:r w:rsidRPr="00321A39">
        <w:rPr>
          <w:rFonts w:asciiTheme="minorBidi" w:hAnsiTheme="minorBidi" w:cstheme="minorBidi"/>
          <w:i/>
          <w:iCs/>
          <w:sz w:val="22"/>
          <w:szCs w:val="22"/>
          <w:lang w:val="cs-CZ"/>
        </w:rPr>
        <w:t xml:space="preserve">UKZUZ </w:t>
      </w:r>
      <w:r w:rsidR="002F7074" w:rsidRPr="00321A39">
        <w:rPr>
          <w:rFonts w:asciiTheme="minorBidi" w:hAnsiTheme="minorBidi" w:cstheme="minorBidi"/>
          <w:i/>
          <w:iCs/>
          <w:sz w:val="22"/>
          <w:szCs w:val="22"/>
          <w:lang w:val="cs-CZ"/>
        </w:rPr>
        <w:t>01</w:t>
      </w:r>
      <w:r w:rsidR="001D40D8">
        <w:rPr>
          <w:rFonts w:asciiTheme="minorBidi" w:hAnsiTheme="minorBidi" w:cstheme="minorBidi"/>
          <w:i/>
          <w:iCs/>
          <w:sz w:val="22"/>
          <w:szCs w:val="22"/>
          <w:lang w:val="cs-CZ"/>
        </w:rPr>
        <w:t>6032</w:t>
      </w:r>
      <w:r w:rsidRPr="00321A39">
        <w:rPr>
          <w:rFonts w:asciiTheme="minorBidi" w:hAnsiTheme="minorBidi" w:cstheme="minorBidi"/>
          <w:i/>
          <w:iCs/>
          <w:sz w:val="22"/>
          <w:szCs w:val="22"/>
          <w:lang w:val="cs-CZ"/>
        </w:rPr>
        <w:t>/201</w:t>
      </w:r>
      <w:r w:rsidR="002F7074" w:rsidRPr="00321A39">
        <w:rPr>
          <w:rFonts w:asciiTheme="minorBidi" w:hAnsiTheme="minorBidi" w:cstheme="minorBidi"/>
          <w:i/>
          <w:iCs/>
          <w:sz w:val="22"/>
          <w:szCs w:val="22"/>
          <w:lang w:val="cs-CZ"/>
        </w:rPr>
        <w:t>9</w:t>
      </w:r>
      <w:r w:rsidR="001D40D8">
        <w:rPr>
          <w:rFonts w:asciiTheme="minorBidi" w:hAnsiTheme="minorBidi" w:cstheme="minorBidi"/>
          <w:i/>
          <w:iCs/>
          <w:sz w:val="22"/>
          <w:szCs w:val="22"/>
          <w:lang w:val="cs-CZ"/>
        </w:rPr>
        <w:t xml:space="preserve"> ze dne 30</w:t>
      </w:r>
      <w:r w:rsidRPr="00321A39">
        <w:rPr>
          <w:rFonts w:asciiTheme="minorBidi" w:hAnsiTheme="minorBidi" w:cstheme="minorBidi"/>
          <w:i/>
          <w:iCs/>
          <w:sz w:val="22"/>
          <w:szCs w:val="22"/>
          <w:lang w:val="cs-CZ"/>
        </w:rPr>
        <w:t>.</w:t>
      </w:r>
      <w:r w:rsidR="002F7074" w:rsidRPr="00321A39">
        <w:rPr>
          <w:rFonts w:asciiTheme="minorBidi" w:hAnsiTheme="minorBidi" w:cstheme="minorBidi"/>
          <w:i/>
          <w:iCs/>
          <w:sz w:val="22"/>
          <w:szCs w:val="22"/>
          <w:lang w:val="cs-CZ"/>
        </w:rPr>
        <w:t>1</w:t>
      </w:r>
      <w:r w:rsidRPr="00321A39">
        <w:rPr>
          <w:rFonts w:asciiTheme="minorBidi" w:hAnsiTheme="minorBidi" w:cstheme="minorBidi"/>
          <w:i/>
          <w:iCs/>
          <w:sz w:val="22"/>
          <w:szCs w:val="22"/>
          <w:lang w:val="cs-CZ"/>
        </w:rPr>
        <w:t>.</w:t>
      </w:r>
      <w:r w:rsidR="002F7074" w:rsidRPr="00321A39">
        <w:rPr>
          <w:rFonts w:asciiTheme="minorBidi" w:hAnsiTheme="minorBidi" w:cstheme="minorBidi"/>
          <w:i/>
          <w:iCs/>
          <w:sz w:val="22"/>
          <w:szCs w:val="22"/>
          <w:lang w:val="cs-CZ"/>
        </w:rPr>
        <w:t>2019</w:t>
      </w:r>
    </w:p>
    <w:sectPr w:rsidR="00E65D1A" w:rsidRPr="00321A39" w:rsidSect="00CF2121">
      <w:headerReference w:type="default" r:id="rId10"/>
      <w:footerReference w:type="default" r:id="rId11"/>
      <w:footerReference w:type="first" r:id="rId12"/>
      <w:pgSz w:w="11907" w:h="16834"/>
      <w:pgMar w:top="1441" w:right="907" w:bottom="752" w:left="907" w:header="720" w:footer="73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F1" w:rsidRDefault="00A751F1">
      <w:r>
        <w:separator/>
      </w:r>
    </w:p>
  </w:endnote>
  <w:endnote w:type="continuationSeparator" w:id="0">
    <w:p w:rsidR="00A751F1" w:rsidRDefault="00A7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D2" w:rsidRDefault="00E176A9" w:rsidP="00CF2121">
    <w:pPr>
      <w:jc w:val="right"/>
      <w:rPr>
        <w:i/>
        <w:iCs/>
        <w:sz w:val="18"/>
        <w:lang w:val="cs-CZ"/>
      </w:rPr>
    </w:pPr>
    <w:r>
      <w:rPr>
        <w:i/>
        <w:snapToGrid w:val="0"/>
        <w:color w:val="C0C0C0"/>
        <w:sz w:val="18"/>
        <w:lang w:val="cs-CZ"/>
      </w:rPr>
      <w:fldChar w:fldCharType="begin"/>
    </w:r>
    <w:r>
      <w:rPr>
        <w:i/>
        <w:snapToGrid w:val="0"/>
        <w:color w:val="C0C0C0"/>
        <w:sz w:val="18"/>
        <w:lang w:val="cs-CZ"/>
      </w:rPr>
      <w:instrText xml:space="preserve"> FILENAME </w:instrText>
    </w:r>
    <w:r>
      <w:rPr>
        <w:i/>
        <w:snapToGrid w:val="0"/>
        <w:color w:val="C0C0C0"/>
        <w:sz w:val="18"/>
        <w:lang w:val="cs-CZ"/>
      </w:rPr>
      <w:fldChar w:fldCharType="separate"/>
    </w:r>
    <w:r w:rsidR="00023BBC">
      <w:rPr>
        <w:i/>
        <w:noProof/>
        <w:snapToGrid w:val="0"/>
        <w:color w:val="C0C0C0"/>
        <w:sz w:val="18"/>
        <w:lang w:val="cs-CZ"/>
      </w:rPr>
      <w:t>l-cz-Zypar 02-19</w:t>
    </w:r>
    <w:r>
      <w:rPr>
        <w:i/>
        <w:snapToGrid w:val="0"/>
        <w:color w:val="C0C0C0"/>
        <w:sz w:val="18"/>
        <w:lang w:val="cs-CZ"/>
      </w:rPr>
      <w:fldChar w:fldCharType="end"/>
    </w:r>
    <w:r w:rsidR="00CF2121" w:rsidRPr="00CF2121">
      <w:rPr>
        <w:i/>
        <w:iCs/>
        <w:sz w:val="18"/>
        <w:lang w:val="cs-CZ"/>
      </w:rPr>
      <w:t xml:space="preserve"> </w:t>
    </w:r>
  </w:p>
  <w:p w:rsidR="00E516A2" w:rsidRPr="00CF2121" w:rsidRDefault="00E516A2" w:rsidP="00CF2121">
    <w:pPr>
      <w:jc w:val="right"/>
      <w:rPr>
        <w:i/>
        <w:iCs/>
        <w:sz w:val="18"/>
        <w:lang w:val="cs-CZ"/>
      </w:rPr>
    </w:pP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023BBC">
      <w:rPr>
        <w:noProof/>
        <w:sz w:val="18"/>
      </w:rPr>
      <w:t>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D2" w:rsidRDefault="00D222D2">
    <w:pPr>
      <w:pStyle w:val="Footer"/>
      <w:rPr>
        <w:i/>
        <w:color w:val="C0C0C0"/>
        <w:sz w:val="18"/>
        <w:lang w:val="cs-CZ"/>
      </w:rPr>
    </w:pPr>
    <w:r>
      <w:rPr>
        <w:i/>
        <w:color w:val="C0C0C0"/>
        <w:sz w:val="18"/>
        <w:lang w:val="cs-CZ"/>
      </w:rPr>
      <w:t xml:space="preserve">Aktualizace: </w:t>
    </w:r>
    <w:r w:rsidR="006E25D1" w:rsidRPr="002C642E">
      <w:rPr>
        <w:i/>
        <w:color w:val="C0C0C0"/>
        <w:sz w:val="18"/>
        <w:lang w:val="cs-CZ"/>
      </w:rPr>
      <w:fldChar w:fldCharType="begin"/>
    </w:r>
    <w:r w:rsidRPr="002C642E">
      <w:rPr>
        <w:i/>
        <w:color w:val="C0C0C0"/>
        <w:sz w:val="18"/>
        <w:lang w:val="cs-CZ"/>
      </w:rPr>
      <w:instrText xml:space="preserve"> DATE \@ "MM/dd/yy" </w:instrText>
    </w:r>
    <w:r w:rsidR="006E25D1" w:rsidRPr="002C642E">
      <w:rPr>
        <w:i/>
        <w:color w:val="C0C0C0"/>
        <w:sz w:val="18"/>
        <w:lang w:val="cs-CZ"/>
      </w:rPr>
      <w:fldChar w:fldCharType="separate"/>
    </w:r>
    <w:r w:rsidR="00F82417">
      <w:rPr>
        <w:i/>
        <w:noProof/>
        <w:color w:val="C0C0C0"/>
        <w:sz w:val="18"/>
        <w:lang w:val="cs-CZ"/>
      </w:rPr>
      <w:t>02/18/19</w:t>
    </w:r>
    <w:r w:rsidR="006E25D1" w:rsidRPr="002C642E">
      <w:rPr>
        <w:i/>
        <w:color w:val="C0C0C0"/>
        <w:sz w:val="18"/>
        <w:lang w:val="cs-CZ"/>
      </w:rPr>
      <w:fldChar w:fldCharType="end"/>
    </w:r>
    <w:r>
      <w:rPr>
        <w:i/>
        <w:color w:val="C0C0C0"/>
        <w:sz w:val="18"/>
        <w:lang w:val="cs-CZ"/>
      </w:rPr>
      <w:tab/>
      <w:t xml:space="preserve">   </w:t>
    </w:r>
    <w:r>
      <w:rPr>
        <w:i/>
        <w:color w:val="C0C0C0"/>
        <w:sz w:val="18"/>
        <w:lang w:val="cs-CZ"/>
      </w:rPr>
      <w:tab/>
      <w:t xml:space="preserve">                                               </w:t>
    </w:r>
    <w:r w:rsidRPr="002C642E">
      <w:rPr>
        <w:i/>
        <w:color w:val="C0C0C0"/>
        <w:sz w:val="18"/>
        <w:lang w:val="cs-CZ"/>
      </w:rPr>
      <w:t xml:space="preserve">   </w:t>
    </w:r>
    <w:r w:rsidR="006E25D1" w:rsidRPr="002C642E">
      <w:rPr>
        <w:i/>
        <w:snapToGrid w:val="0"/>
        <w:color w:val="C0C0C0"/>
        <w:sz w:val="18"/>
        <w:lang w:val="cs-CZ"/>
      </w:rPr>
      <w:fldChar w:fldCharType="begin"/>
    </w:r>
    <w:r w:rsidRPr="002C642E">
      <w:rPr>
        <w:i/>
        <w:snapToGrid w:val="0"/>
        <w:color w:val="C0C0C0"/>
        <w:sz w:val="18"/>
        <w:lang w:val="cs-CZ"/>
      </w:rPr>
      <w:instrText xml:space="preserve"> FILENAME </w:instrText>
    </w:r>
    <w:r w:rsidR="006E25D1" w:rsidRPr="002C642E">
      <w:rPr>
        <w:i/>
        <w:snapToGrid w:val="0"/>
        <w:color w:val="C0C0C0"/>
        <w:sz w:val="18"/>
        <w:lang w:val="cs-CZ"/>
      </w:rPr>
      <w:fldChar w:fldCharType="separate"/>
    </w:r>
    <w:r w:rsidR="009154E8">
      <w:rPr>
        <w:i/>
        <w:noProof/>
        <w:snapToGrid w:val="0"/>
        <w:color w:val="C0C0C0"/>
        <w:sz w:val="18"/>
        <w:lang w:val="cs-CZ"/>
      </w:rPr>
      <w:t>l-cz-Pixxaro 12-16.docx</w:t>
    </w:r>
    <w:r w:rsidR="006E25D1" w:rsidRPr="002C642E">
      <w:rPr>
        <w:i/>
        <w:snapToGrid w:val="0"/>
        <w:color w:val="C0C0C0"/>
        <w:sz w:val="18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F1" w:rsidRDefault="00A751F1">
      <w:r>
        <w:separator/>
      </w:r>
    </w:p>
  </w:footnote>
  <w:footnote w:type="continuationSeparator" w:id="0">
    <w:p w:rsidR="00A751F1" w:rsidRDefault="00A7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D2" w:rsidRDefault="00E93434">
    <w:pPr>
      <w:jc w:val="center"/>
    </w:pPr>
    <w:r>
      <w:fldChar w:fldCharType="begin"/>
    </w:r>
    <w:r>
      <w:instrText>PAGE</w:instrText>
    </w:r>
    <w:r>
      <w:fldChar w:fldCharType="separate"/>
    </w:r>
    <w:r w:rsidR="00023BBC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792"/>
        </w:tabs>
        <w:ind w:left="4792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F566B0"/>
    <w:multiLevelType w:val="hybridMultilevel"/>
    <w:tmpl w:val="710A0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6B41"/>
    <w:multiLevelType w:val="hybridMultilevel"/>
    <w:tmpl w:val="278EB79E"/>
    <w:lvl w:ilvl="0" w:tplc="A1C0EF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C2D3E"/>
    <w:multiLevelType w:val="hybridMultilevel"/>
    <w:tmpl w:val="EC9A9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3A03"/>
    <w:multiLevelType w:val="hybridMultilevel"/>
    <w:tmpl w:val="9F7E1B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7DA2"/>
    <w:multiLevelType w:val="hybridMultilevel"/>
    <w:tmpl w:val="278EB79E"/>
    <w:lvl w:ilvl="0" w:tplc="A1C0EF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E8261E"/>
    <w:multiLevelType w:val="hybridMultilevel"/>
    <w:tmpl w:val="42E22D2A"/>
    <w:lvl w:ilvl="0" w:tplc="EBFCE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0706"/>
    <w:multiLevelType w:val="hybridMultilevel"/>
    <w:tmpl w:val="3C26E1B4"/>
    <w:lvl w:ilvl="0" w:tplc="6060A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A28EB"/>
    <w:multiLevelType w:val="hybridMultilevel"/>
    <w:tmpl w:val="75C68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64"/>
    <w:rsid w:val="00006B59"/>
    <w:rsid w:val="00023BBC"/>
    <w:rsid w:val="000600C7"/>
    <w:rsid w:val="00070195"/>
    <w:rsid w:val="00074031"/>
    <w:rsid w:val="000A56BB"/>
    <w:rsid w:val="000B17D6"/>
    <w:rsid w:val="000D39BD"/>
    <w:rsid w:val="000E0762"/>
    <w:rsid w:val="000F1BA6"/>
    <w:rsid w:val="000F3202"/>
    <w:rsid w:val="00114129"/>
    <w:rsid w:val="00121C88"/>
    <w:rsid w:val="00125355"/>
    <w:rsid w:val="00130CD7"/>
    <w:rsid w:val="00131551"/>
    <w:rsid w:val="00137127"/>
    <w:rsid w:val="00137892"/>
    <w:rsid w:val="00151C3E"/>
    <w:rsid w:val="00177DD0"/>
    <w:rsid w:val="0019047D"/>
    <w:rsid w:val="00192D5D"/>
    <w:rsid w:val="001A6097"/>
    <w:rsid w:val="001A6769"/>
    <w:rsid w:val="001A7490"/>
    <w:rsid w:val="001D14E4"/>
    <w:rsid w:val="001D40D8"/>
    <w:rsid w:val="00211D9B"/>
    <w:rsid w:val="002160BD"/>
    <w:rsid w:val="002215F9"/>
    <w:rsid w:val="0022442A"/>
    <w:rsid w:val="0023381E"/>
    <w:rsid w:val="0023541A"/>
    <w:rsid w:val="00236C37"/>
    <w:rsid w:val="002A4CEC"/>
    <w:rsid w:val="002A66F9"/>
    <w:rsid w:val="002B038F"/>
    <w:rsid w:val="002B714B"/>
    <w:rsid w:val="002C642E"/>
    <w:rsid w:val="002D5018"/>
    <w:rsid w:val="002F5C9B"/>
    <w:rsid w:val="002F7074"/>
    <w:rsid w:val="00302940"/>
    <w:rsid w:val="00302C28"/>
    <w:rsid w:val="00321A39"/>
    <w:rsid w:val="00335890"/>
    <w:rsid w:val="00345E2F"/>
    <w:rsid w:val="00355064"/>
    <w:rsid w:val="00365CD1"/>
    <w:rsid w:val="00384210"/>
    <w:rsid w:val="00387FBB"/>
    <w:rsid w:val="003A1D7E"/>
    <w:rsid w:val="003E00D4"/>
    <w:rsid w:val="003F18EE"/>
    <w:rsid w:val="003F550D"/>
    <w:rsid w:val="004210BC"/>
    <w:rsid w:val="004322E3"/>
    <w:rsid w:val="004324A8"/>
    <w:rsid w:val="0043257F"/>
    <w:rsid w:val="00433369"/>
    <w:rsid w:val="004530A6"/>
    <w:rsid w:val="004579AA"/>
    <w:rsid w:val="00483C97"/>
    <w:rsid w:val="004918BE"/>
    <w:rsid w:val="004A07FE"/>
    <w:rsid w:val="004A2188"/>
    <w:rsid w:val="004A2D18"/>
    <w:rsid w:val="004A32D6"/>
    <w:rsid w:val="004A49CB"/>
    <w:rsid w:val="004C3230"/>
    <w:rsid w:val="004C6E64"/>
    <w:rsid w:val="0050736F"/>
    <w:rsid w:val="00531AA5"/>
    <w:rsid w:val="0053389C"/>
    <w:rsid w:val="00535D4B"/>
    <w:rsid w:val="00536219"/>
    <w:rsid w:val="005419EC"/>
    <w:rsid w:val="00544A69"/>
    <w:rsid w:val="005760A3"/>
    <w:rsid w:val="0058167D"/>
    <w:rsid w:val="0059098B"/>
    <w:rsid w:val="005D377B"/>
    <w:rsid w:val="005D5E8A"/>
    <w:rsid w:val="005D71EC"/>
    <w:rsid w:val="005E0D81"/>
    <w:rsid w:val="00602ED7"/>
    <w:rsid w:val="0060354E"/>
    <w:rsid w:val="00624DD7"/>
    <w:rsid w:val="00652D25"/>
    <w:rsid w:val="00656852"/>
    <w:rsid w:val="00666331"/>
    <w:rsid w:val="0067686E"/>
    <w:rsid w:val="006B29AD"/>
    <w:rsid w:val="006B4730"/>
    <w:rsid w:val="006D59E2"/>
    <w:rsid w:val="006D7CA7"/>
    <w:rsid w:val="006E2101"/>
    <w:rsid w:val="006E25D1"/>
    <w:rsid w:val="00700742"/>
    <w:rsid w:val="00715566"/>
    <w:rsid w:val="00726639"/>
    <w:rsid w:val="00733752"/>
    <w:rsid w:val="00752085"/>
    <w:rsid w:val="007526C5"/>
    <w:rsid w:val="0075569E"/>
    <w:rsid w:val="00765DE7"/>
    <w:rsid w:val="00772156"/>
    <w:rsid w:val="007742E1"/>
    <w:rsid w:val="00775BA7"/>
    <w:rsid w:val="007A16D4"/>
    <w:rsid w:val="007A72E8"/>
    <w:rsid w:val="007B1B64"/>
    <w:rsid w:val="007B4D14"/>
    <w:rsid w:val="007B63E7"/>
    <w:rsid w:val="007D1A78"/>
    <w:rsid w:val="007D2947"/>
    <w:rsid w:val="007E037B"/>
    <w:rsid w:val="007E33A1"/>
    <w:rsid w:val="007E68AC"/>
    <w:rsid w:val="00802D6C"/>
    <w:rsid w:val="00813964"/>
    <w:rsid w:val="0081623B"/>
    <w:rsid w:val="0082199A"/>
    <w:rsid w:val="00822C1D"/>
    <w:rsid w:val="0083064C"/>
    <w:rsid w:val="00842DDB"/>
    <w:rsid w:val="008442AA"/>
    <w:rsid w:val="00844917"/>
    <w:rsid w:val="00890218"/>
    <w:rsid w:val="008A02DE"/>
    <w:rsid w:val="008A2ABA"/>
    <w:rsid w:val="008C4DA3"/>
    <w:rsid w:val="008F3629"/>
    <w:rsid w:val="00906300"/>
    <w:rsid w:val="00912BF0"/>
    <w:rsid w:val="009154E8"/>
    <w:rsid w:val="00942C74"/>
    <w:rsid w:val="00946156"/>
    <w:rsid w:val="00952CDB"/>
    <w:rsid w:val="00956E99"/>
    <w:rsid w:val="00965C1A"/>
    <w:rsid w:val="00974034"/>
    <w:rsid w:val="00990945"/>
    <w:rsid w:val="009A0E68"/>
    <w:rsid w:val="009E2ADA"/>
    <w:rsid w:val="00A11B05"/>
    <w:rsid w:val="00A16284"/>
    <w:rsid w:val="00A20A87"/>
    <w:rsid w:val="00A32449"/>
    <w:rsid w:val="00A40B87"/>
    <w:rsid w:val="00A45A10"/>
    <w:rsid w:val="00A50D3B"/>
    <w:rsid w:val="00A5159E"/>
    <w:rsid w:val="00A60540"/>
    <w:rsid w:val="00A6400C"/>
    <w:rsid w:val="00A66090"/>
    <w:rsid w:val="00A751F1"/>
    <w:rsid w:val="00A96ECF"/>
    <w:rsid w:val="00AA5438"/>
    <w:rsid w:val="00AB2024"/>
    <w:rsid w:val="00AB6629"/>
    <w:rsid w:val="00AC6015"/>
    <w:rsid w:val="00AD4A02"/>
    <w:rsid w:val="00AE1F3A"/>
    <w:rsid w:val="00AF7652"/>
    <w:rsid w:val="00B06FD2"/>
    <w:rsid w:val="00B2474A"/>
    <w:rsid w:val="00B35382"/>
    <w:rsid w:val="00B41186"/>
    <w:rsid w:val="00B545AF"/>
    <w:rsid w:val="00B722DB"/>
    <w:rsid w:val="00B75880"/>
    <w:rsid w:val="00B81FF8"/>
    <w:rsid w:val="00BA4B0C"/>
    <w:rsid w:val="00BA7D18"/>
    <w:rsid w:val="00BF4399"/>
    <w:rsid w:val="00C12774"/>
    <w:rsid w:val="00C127B8"/>
    <w:rsid w:val="00C31FF4"/>
    <w:rsid w:val="00C51514"/>
    <w:rsid w:val="00C807CF"/>
    <w:rsid w:val="00C84764"/>
    <w:rsid w:val="00CD48DF"/>
    <w:rsid w:val="00CE3673"/>
    <w:rsid w:val="00CF2121"/>
    <w:rsid w:val="00CF4689"/>
    <w:rsid w:val="00D033AD"/>
    <w:rsid w:val="00D222D2"/>
    <w:rsid w:val="00D62A71"/>
    <w:rsid w:val="00D70929"/>
    <w:rsid w:val="00D81403"/>
    <w:rsid w:val="00D8752C"/>
    <w:rsid w:val="00D92E4C"/>
    <w:rsid w:val="00D950B1"/>
    <w:rsid w:val="00DA7A03"/>
    <w:rsid w:val="00DB0A8F"/>
    <w:rsid w:val="00DB6C4B"/>
    <w:rsid w:val="00DB77D2"/>
    <w:rsid w:val="00DC6E48"/>
    <w:rsid w:val="00DE558A"/>
    <w:rsid w:val="00E02BC8"/>
    <w:rsid w:val="00E15911"/>
    <w:rsid w:val="00E176A9"/>
    <w:rsid w:val="00E510E5"/>
    <w:rsid w:val="00E516A2"/>
    <w:rsid w:val="00E5312D"/>
    <w:rsid w:val="00E53273"/>
    <w:rsid w:val="00E616F1"/>
    <w:rsid w:val="00E644C0"/>
    <w:rsid w:val="00E65D1A"/>
    <w:rsid w:val="00E76BA9"/>
    <w:rsid w:val="00E93434"/>
    <w:rsid w:val="00EA6870"/>
    <w:rsid w:val="00ED48A8"/>
    <w:rsid w:val="00EE2FB4"/>
    <w:rsid w:val="00EE38BC"/>
    <w:rsid w:val="00F07E6A"/>
    <w:rsid w:val="00F15A61"/>
    <w:rsid w:val="00F24D0F"/>
    <w:rsid w:val="00F30065"/>
    <w:rsid w:val="00F46447"/>
    <w:rsid w:val="00F53829"/>
    <w:rsid w:val="00F6126E"/>
    <w:rsid w:val="00F7563E"/>
    <w:rsid w:val="00F82417"/>
    <w:rsid w:val="00FA2954"/>
    <w:rsid w:val="00FA3EA0"/>
    <w:rsid w:val="00FA67B0"/>
    <w:rsid w:val="00FB1724"/>
    <w:rsid w:val="00FB4A97"/>
    <w:rsid w:val="00FB5511"/>
    <w:rsid w:val="00FC0C9F"/>
    <w:rsid w:val="00FC143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19F3A-C613-4E71-82FF-B0238E5F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E65D1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590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  <w:lang w:val="cs-CZ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6E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B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D222D2"/>
  </w:style>
  <w:style w:type="paragraph" w:styleId="ListParagraph">
    <w:name w:val="List Paragraph"/>
    <w:basedOn w:val="Normal"/>
    <w:uiPriority w:val="34"/>
    <w:qFormat/>
    <w:rsid w:val="005D37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0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E176A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76A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890218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E66D-303F-4B4D-B660-AE64912C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Starane® 250 EC</vt:lpstr>
    </vt:vector>
  </TitlesOfParts>
  <Company>Dow Chemical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Starane® 250 EC</dc:title>
  <dc:subject/>
  <dc:creator>DowElanco</dc:creator>
  <cp:keywords/>
  <dc:description/>
  <cp:lastModifiedBy>Sobkuliak, Roman (R)</cp:lastModifiedBy>
  <cp:revision>6</cp:revision>
  <cp:lastPrinted>2015-10-16T13:47:00Z</cp:lastPrinted>
  <dcterms:created xsi:type="dcterms:W3CDTF">2019-02-04T10:29:00Z</dcterms:created>
  <dcterms:modified xsi:type="dcterms:W3CDTF">2019-02-18T12:02:00Z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Sobkuliak R nd10551</vt:lpwstr>
  </property>
  <property fmtid="{D5CDD505-2E9C-101B-9397-08002B2CF9AE}" pid="3" name="Retention_Period_Start_Date">
    <vt:filetime>2019-02-18T12:01:22Z</vt:filetime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filetime>2009-11-05T14:41:34Z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_NewReviewCycle">
    <vt:lpwstr/>
  </property>
</Properties>
</file>